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CD42B" w14:textId="00ED6CCE" w:rsidR="0040465B" w:rsidRPr="002A05BA" w:rsidRDefault="0040465B" w:rsidP="007C3087">
      <w:pPr>
        <w:spacing w:after="0" w:line="240" w:lineRule="auto"/>
        <w:rPr>
          <w:rFonts w:ascii="Times New Roman" w:hAnsi="Times New Roman" w:cs="Times New Roman"/>
        </w:rPr>
      </w:pPr>
      <w:r w:rsidRPr="002A05BA">
        <w:rPr>
          <w:rFonts w:ascii="Times New Roman" w:hAnsi="Times New Roman" w:cs="Times New Roman"/>
        </w:rPr>
        <w:t>Załącznik</w:t>
      </w:r>
      <w:r w:rsidR="008B04DB" w:rsidRPr="002A05BA">
        <w:rPr>
          <w:rFonts w:ascii="Times New Roman" w:hAnsi="Times New Roman" w:cs="Times New Roman"/>
        </w:rPr>
        <w:t xml:space="preserve"> </w:t>
      </w:r>
      <w:r w:rsidRPr="002A05BA">
        <w:rPr>
          <w:rFonts w:ascii="Times New Roman" w:hAnsi="Times New Roman" w:cs="Times New Roman"/>
        </w:rPr>
        <w:t>B.9.</w:t>
      </w:r>
      <w:r w:rsidR="00514F88" w:rsidRPr="002A05BA">
        <w:rPr>
          <w:rFonts w:ascii="Times New Roman" w:hAnsi="Times New Roman" w:cs="Times New Roman"/>
        </w:rPr>
        <w:t>FM.</w:t>
      </w:r>
    </w:p>
    <w:p w14:paraId="68C44E8F" w14:textId="77777777" w:rsidR="0040465B" w:rsidRPr="002A05BA" w:rsidRDefault="0040465B" w:rsidP="007C3087">
      <w:pPr>
        <w:spacing w:after="0" w:line="240" w:lineRule="auto"/>
        <w:rPr>
          <w:rFonts w:ascii="Times New Roman" w:hAnsi="Times New Roman" w:cs="Times New Roman"/>
        </w:rPr>
      </w:pPr>
    </w:p>
    <w:p w14:paraId="4E06B517" w14:textId="77777777" w:rsidR="00E302B5" w:rsidRPr="002A05BA" w:rsidRDefault="00663097" w:rsidP="007C3087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A05BA">
        <w:rPr>
          <w:rFonts w:ascii="Times New Roman" w:hAnsi="Times New Roman" w:cs="Times New Roman"/>
          <w:b/>
          <w:sz w:val="28"/>
          <w:szCs w:val="28"/>
        </w:rPr>
        <w:t>LECZENIE</w:t>
      </w:r>
      <w:r w:rsidR="008B04DB" w:rsidRPr="002A0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05BA">
        <w:rPr>
          <w:rFonts w:ascii="Times New Roman" w:hAnsi="Times New Roman" w:cs="Times New Roman"/>
          <w:b/>
          <w:sz w:val="28"/>
          <w:szCs w:val="28"/>
        </w:rPr>
        <w:t>CHORYCH</w:t>
      </w:r>
      <w:r w:rsidR="008B04DB" w:rsidRPr="002A0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05BA">
        <w:rPr>
          <w:rFonts w:ascii="Times New Roman" w:hAnsi="Times New Roman" w:cs="Times New Roman"/>
          <w:b/>
          <w:sz w:val="28"/>
          <w:szCs w:val="28"/>
        </w:rPr>
        <w:t>NA</w:t>
      </w:r>
      <w:r w:rsidR="008B04DB" w:rsidRPr="002A0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05BA">
        <w:rPr>
          <w:rFonts w:ascii="Times New Roman" w:hAnsi="Times New Roman" w:cs="Times New Roman"/>
          <w:b/>
          <w:sz w:val="28"/>
          <w:szCs w:val="28"/>
        </w:rPr>
        <w:t>RAKA</w:t>
      </w:r>
      <w:r w:rsidR="008B04DB" w:rsidRPr="002A0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05BA">
        <w:rPr>
          <w:rFonts w:ascii="Times New Roman" w:hAnsi="Times New Roman" w:cs="Times New Roman"/>
          <w:b/>
          <w:sz w:val="28"/>
          <w:szCs w:val="28"/>
        </w:rPr>
        <w:t>PIERSI</w:t>
      </w:r>
      <w:r w:rsidR="008B04DB" w:rsidRPr="002A0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65B" w:rsidRPr="002A05BA">
        <w:rPr>
          <w:rFonts w:ascii="Times New Roman" w:hAnsi="Times New Roman" w:cs="Times New Roman"/>
          <w:b/>
          <w:sz w:val="28"/>
          <w:szCs w:val="28"/>
        </w:rPr>
        <w:t>(ICD-10</w:t>
      </w:r>
      <w:r w:rsidR="001A336C" w:rsidRPr="002A05BA">
        <w:rPr>
          <w:rFonts w:ascii="Times New Roman" w:hAnsi="Times New Roman" w:cs="Times New Roman"/>
          <w:b/>
          <w:sz w:val="28"/>
          <w:szCs w:val="28"/>
        </w:rPr>
        <w:t>:</w:t>
      </w:r>
      <w:r w:rsidR="008B04DB" w:rsidRPr="002A0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65B" w:rsidRPr="002A05BA">
        <w:rPr>
          <w:rFonts w:ascii="Times New Roman" w:hAnsi="Times New Roman" w:cs="Times New Roman"/>
          <w:b/>
          <w:sz w:val="28"/>
          <w:szCs w:val="28"/>
        </w:rPr>
        <w:t>C50)</w:t>
      </w:r>
    </w:p>
    <w:tbl>
      <w:tblPr>
        <w:tblStyle w:val="Tabela-Siatka"/>
        <w:tblW w:w="0" w:type="auto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99"/>
        <w:gridCol w:w="4279"/>
        <w:gridCol w:w="4274"/>
        <w:gridCol w:w="6"/>
      </w:tblGrid>
      <w:tr w:rsidR="007C3087" w:rsidRPr="002A05BA" w14:paraId="1EC53679" w14:textId="77777777" w:rsidTr="008B04DB">
        <w:trPr>
          <w:gridAfter w:val="1"/>
          <w:wAfter w:w="6" w:type="dxa"/>
          <w:trHeight w:val="567"/>
          <w:jc w:val="center"/>
        </w:trPr>
        <w:tc>
          <w:tcPr>
            <w:tcW w:w="15352" w:type="dxa"/>
            <w:gridSpan w:val="3"/>
            <w:vAlign w:val="center"/>
          </w:tcPr>
          <w:p w14:paraId="725E17D5" w14:textId="77777777" w:rsidR="00F1705D" w:rsidRPr="002A05BA" w:rsidRDefault="00127F97" w:rsidP="00FB6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7C3087" w:rsidRPr="002A05BA" w14:paraId="22D40103" w14:textId="77777777" w:rsidTr="00A80C64">
        <w:trPr>
          <w:trHeight w:val="20"/>
          <w:jc w:val="center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0EC78F9C" w14:textId="77777777" w:rsidR="00971D9B" w:rsidRPr="002A05BA" w:rsidRDefault="00971D9B" w:rsidP="00D92AC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4279" w:type="dxa"/>
            <w:vAlign w:val="center"/>
          </w:tcPr>
          <w:p w14:paraId="18DD0A5F" w14:textId="77777777" w:rsidR="00F1705D" w:rsidRPr="002A05BA" w:rsidRDefault="00E302B5" w:rsidP="00FB6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MAKSYMALNE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DAWKOWANIE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SUBSTANCJI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LECZNICZYCH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OBECNYCH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</w:tc>
        <w:tc>
          <w:tcPr>
            <w:tcW w:w="4280" w:type="dxa"/>
            <w:gridSpan w:val="2"/>
            <w:vAlign w:val="center"/>
          </w:tcPr>
          <w:p w14:paraId="72E3A8EA" w14:textId="77777777" w:rsidR="00F1705D" w:rsidRPr="002A05BA" w:rsidRDefault="00971D9B" w:rsidP="00FB6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9E457E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7C3087" w:rsidRPr="007C3087" w14:paraId="459FFB7C" w14:textId="77777777" w:rsidTr="00A80C64">
        <w:trPr>
          <w:trHeight w:val="20"/>
          <w:jc w:val="center"/>
        </w:trPr>
        <w:tc>
          <w:tcPr>
            <w:tcW w:w="6799" w:type="dxa"/>
            <w:tcBorders>
              <w:bottom w:val="single" w:sz="4" w:space="0" w:color="auto"/>
            </w:tcBorders>
          </w:tcPr>
          <w:p w14:paraId="3A378810" w14:textId="77777777" w:rsidR="00705EF6" w:rsidRPr="002A05BA" w:rsidRDefault="00705EF6" w:rsidP="00D92ACE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123E" w:rsidRPr="002A05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7F6B9B96" w14:textId="77777777" w:rsidR="00705EF6" w:rsidRPr="002A05BA" w:rsidRDefault="00705EF6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E3CB829" w14:textId="77777777" w:rsidR="00705EF6" w:rsidRPr="002A05BA" w:rsidRDefault="00705EF6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71E1AC" w14:textId="77777777" w:rsidR="00705EF6" w:rsidRPr="002A05BA" w:rsidRDefault="001746F7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proofErr w:type="spellEnd"/>
            <w:r w:rsidR="00705EF6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DEB6916" w14:textId="77777777" w:rsidR="00AB2520" w:rsidRPr="002A05BA" w:rsidRDefault="00AB2520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tukatynib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B2B5686" w14:textId="77777777" w:rsidR="00705EF6" w:rsidRPr="002A05BA" w:rsidRDefault="00AB2520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derukstekan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8A30AE0" w14:textId="77777777" w:rsidR="00705EF6" w:rsidRPr="002A05BA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7C3087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1E5160E" w14:textId="77777777" w:rsidR="00705EF6" w:rsidRPr="002A05BA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uzupełniającym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571F"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1373"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1373" w:rsidRPr="002A05BA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proofErr w:type="spellEnd"/>
            <w:r w:rsidR="00507B13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C8BF965" w14:textId="77777777" w:rsidR="007C3087" w:rsidRPr="002A05BA" w:rsidRDefault="007C3087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EB5729" w14:textId="77777777" w:rsidR="00705EF6" w:rsidRPr="002A05BA" w:rsidRDefault="00612EC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lekowej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F7B6D9A" w14:textId="77777777" w:rsidR="00003FDE" w:rsidRPr="002A05BA" w:rsidRDefault="00003FD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287F25" w14:textId="77777777" w:rsidR="00705EF6" w:rsidRPr="002A05BA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3E43" w:rsidRPr="002A05BA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7D210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raka 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7D210E" w:rsidRPr="002A05BA">
              <w:rPr>
                <w:rFonts w:ascii="Times New Roman" w:hAnsi="Times New Roman" w:cs="Times New Roman"/>
                <w:sz w:val="20"/>
                <w:szCs w:val="20"/>
              </w:rPr>
              <w:t>, s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tosowane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2.1.1.-2.1.</w:t>
            </w:r>
            <w:r w:rsidR="00AB2520" w:rsidRPr="002A05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  <w:p w14:paraId="05A26BE3" w14:textId="77777777" w:rsidR="00F1705D" w:rsidRPr="002A05BA" w:rsidRDefault="00705EF6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pertuzumab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65C76"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C76" w:rsidRPr="002A05BA">
              <w:rPr>
                <w:rFonts w:ascii="Times New Roman" w:hAnsi="Times New Roman" w:cs="Times New Roman"/>
                <w:sz w:val="20"/>
                <w:szCs w:val="20"/>
              </w:rPr>
              <w:t>+/-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65C76" w:rsidRPr="002A05BA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uzupełniająca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wynosić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31194D8" w14:textId="77777777" w:rsidR="00F1705D" w:rsidRPr="002A05BA" w:rsidRDefault="00705EF6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hormonoterapią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samodzielnie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chorych,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otrzymywały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uzupełniającym</w:t>
            </w:r>
            <w:r w:rsidR="00AD20F0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4502" w:rsidRPr="002A05BA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paliatywnego,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B34502" w:rsidRPr="002A05BA"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otrzymywała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487F0D9" w14:textId="77777777" w:rsidR="00F1705D" w:rsidRPr="002A05BA" w:rsidRDefault="00C84355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tylko,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uzupełniająca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wystąpił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E2F6829" w14:textId="77777777" w:rsidR="00F1705D" w:rsidRPr="002A05BA" w:rsidRDefault="00F9775A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tukatynib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czwartej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A1486A" w:rsidRPr="002A05BA">
              <w:rPr>
                <w:rFonts w:ascii="Times New Roman" w:hAnsi="Times New Roman" w:cs="Times New Roman"/>
                <w:sz w:val="20"/>
                <w:szCs w:val="20"/>
              </w:rPr>
              <w:t>/-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występują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ośrodkowego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nerwowego</w:t>
            </w:r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odanie</w:t>
            </w:r>
            <w:r w:rsidR="008B04DB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tukatynibu</w:t>
            </w:r>
            <w:proofErr w:type="spellEnd"/>
            <w:r w:rsidR="008B04DB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wymaga</w:t>
            </w:r>
            <w:r w:rsidR="008B04DB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zastosowania</w:t>
            </w:r>
            <w:r w:rsidR="008B04DB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wcześniej</w:t>
            </w:r>
            <w:r w:rsidR="008B04DB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najmniej</w:t>
            </w:r>
            <w:r w:rsidR="008B04DB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jednej</w:t>
            </w:r>
            <w:r w:rsidR="008B04DB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paliatywnej</w:t>
            </w:r>
            <w:r w:rsidR="008B04DB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anty-HER2</w:t>
            </w:r>
            <w:r w:rsidR="00AB2520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3BBBB0A1" w14:textId="77777777" w:rsidR="00F1705D" w:rsidRPr="00D25DD4" w:rsidRDefault="00AB2520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trastuzumab</w:t>
            </w:r>
            <w:proofErr w:type="spellEnd"/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3355B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derukstekan</w:t>
            </w:r>
            <w:proofErr w:type="spellEnd"/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drugiej lub trzeciej lub czwartej linii leczenia stosowanej z powodu nieoperacyjnego lub zaawansowanego HER2-dodatniego raka piersi  po zastosowaniu co najmniej jednej linii terapii anty-HER2.</w:t>
            </w:r>
          </w:p>
          <w:p w14:paraId="6EC6EDE9" w14:textId="77777777" w:rsidR="00D25DD4" w:rsidRPr="002A05BA" w:rsidRDefault="00D25DD4" w:rsidP="00D25DD4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73F21F" w14:textId="4913A515" w:rsidR="00033A6E" w:rsidRPr="005E294F" w:rsidRDefault="00D25DD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 programie finansuje się leczenie pooperacyjne (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proofErr w:type="spellEnd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w skojarzeniu z hormonoterapią HR+, HER2-ujemnego raka piersi z wysokim ryzykiem nawrotu określonym klinicznie lub patomorfologicznie zgodnie z pkt 5) kryteriów włączenia.</w:t>
            </w:r>
          </w:p>
          <w:p w14:paraId="4D0B917F" w14:textId="77777777" w:rsidR="00A80C64" w:rsidRPr="005E294F" w:rsidRDefault="00A80C6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1C5CBD" w14:textId="77777777" w:rsidR="00785C79" w:rsidRPr="002A05BA" w:rsidRDefault="00785C79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5E294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5E29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D7D2D"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1EA0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zastosowania) HER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1AF3"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2A05BA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041E9176" w14:textId="77777777" w:rsidR="00F1705D" w:rsidRPr="002A05BA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palbocyklibem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3BF0455" w14:textId="77777777" w:rsidR="00F1705D" w:rsidRPr="002A05BA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rybocyklibem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215E7A6" w14:textId="77777777" w:rsidR="00F1705D" w:rsidRPr="002A05BA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D64C30A" w14:textId="77777777" w:rsidR="00F1705D" w:rsidRPr="002A05BA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D9B3AAA" w14:textId="77777777" w:rsidR="00F1705D" w:rsidRPr="002A05BA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r w:rsidR="00E517B2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26520B" w14:textId="77777777" w:rsidR="00F1705D" w:rsidRPr="002A05BA" w:rsidRDefault="00E517B2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olaparybem.</w:t>
            </w:r>
          </w:p>
          <w:p w14:paraId="54263202" w14:textId="77777777" w:rsidR="00033A6E" w:rsidRPr="002A05BA" w:rsidRDefault="00033A6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59518A" w14:textId="77777777" w:rsidR="00F1705D" w:rsidRPr="002A05BA" w:rsidRDefault="00033A6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63355B" w:rsidRPr="002A05BA">
              <w:rPr>
                <w:rFonts w:ascii="Times New Roman" w:hAnsi="Times New Roman" w:cs="Times New Roman"/>
                <w:sz w:val="20"/>
                <w:szCs w:val="20"/>
              </w:rPr>
              <w:t>leczeniu uzupełniającym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luminalnego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HER2</w:t>
            </w:r>
            <w:r w:rsidR="00AC1AF3"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ujemnego raka piersi oraz potrójnie ujemnego raka piersi stosowany jest: </w:t>
            </w:r>
          </w:p>
          <w:p w14:paraId="7599FAAA" w14:textId="77777777" w:rsidR="00F1705D" w:rsidRPr="002A05BA" w:rsidRDefault="0063355B" w:rsidP="00FB6963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olaparyb</w:t>
            </w:r>
            <w:r w:rsidR="00033A6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w monoterapii lub w skojarzeniu z terapią hormonalną w leczeniu </w:t>
            </w:r>
            <w:proofErr w:type="spellStart"/>
            <w:r w:rsidR="00033A6E" w:rsidRPr="002A05BA">
              <w:rPr>
                <w:rFonts w:ascii="Times New Roman" w:hAnsi="Times New Roman" w:cs="Times New Roman"/>
                <w:sz w:val="20"/>
                <w:szCs w:val="20"/>
              </w:rPr>
              <w:t>adjuwantowym</w:t>
            </w:r>
            <w:proofErr w:type="spellEnd"/>
            <w:r w:rsidR="00033A6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dorosłych pacjentów z </w:t>
            </w:r>
            <w:proofErr w:type="spellStart"/>
            <w:r w:rsidR="0098160F" w:rsidRPr="002A05BA">
              <w:rPr>
                <w:rFonts w:ascii="Times New Roman" w:hAnsi="Times New Roman" w:cs="Times New Roman"/>
                <w:sz w:val="20"/>
                <w:szCs w:val="20"/>
              </w:rPr>
              <w:t>germinalnymi</w:t>
            </w:r>
            <w:proofErr w:type="spellEnd"/>
            <w:r w:rsidR="00033A6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mutacjami BRCA1/2, u których występuje HER2</w:t>
            </w:r>
            <w:r w:rsidR="00FA2F38"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33A6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ujemny wczesny rak piersi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wysokiego ryzyka</w:t>
            </w:r>
            <w:r w:rsidR="00033A6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, leczony wcześniej chemioterapią </w:t>
            </w:r>
            <w:proofErr w:type="spellStart"/>
            <w:r w:rsidR="00033A6E" w:rsidRPr="002A05BA">
              <w:rPr>
                <w:rFonts w:ascii="Times New Roman" w:hAnsi="Times New Roman" w:cs="Times New Roman"/>
                <w:sz w:val="20"/>
                <w:szCs w:val="20"/>
              </w:rPr>
              <w:t>neoadjuwantową</w:t>
            </w:r>
            <w:proofErr w:type="spellEnd"/>
            <w:r w:rsidR="00033A6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="00033A6E" w:rsidRPr="002A05BA">
              <w:rPr>
                <w:rFonts w:ascii="Times New Roman" w:hAnsi="Times New Roman" w:cs="Times New Roman"/>
                <w:sz w:val="20"/>
                <w:szCs w:val="20"/>
              </w:rPr>
              <w:t>adjuwantową</w:t>
            </w:r>
            <w:proofErr w:type="spellEnd"/>
            <w:r w:rsidR="00033A6E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F323C4D" w14:textId="77777777" w:rsidR="00A468E5" w:rsidRPr="002A05BA" w:rsidRDefault="00A468E5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402938" w14:textId="77777777" w:rsidR="00B34502" w:rsidRPr="002A05BA" w:rsidRDefault="00B345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67D2" w:rsidRPr="002A0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67D2" w:rsidRPr="002A0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.1.-</w:t>
            </w:r>
            <w:r w:rsidR="00080C2A" w:rsidRPr="002A05B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.4.:</w:t>
            </w:r>
          </w:p>
          <w:p w14:paraId="797A1B9D" w14:textId="77777777" w:rsidR="00F1705D" w:rsidRPr="002A05BA" w:rsidRDefault="00B34502" w:rsidP="00FB6963">
            <w:pPr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abemacyklib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palbocyklib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C8240CE" w14:textId="77777777" w:rsidR="00F1705D" w:rsidRPr="002A05BA" w:rsidRDefault="006A38A9" w:rsidP="00FB6963">
            <w:pPr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abemacyklib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abemacyklib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palbocyklib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BFD18E6" w14:textId="77777777" w:rsidR="00F1705D" w:rsidRPr="002A05BA" w:rsidRDefault="00C4087D" w:rsidP="00FB6963">
            <w:pPr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alpelisyb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nawrocie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hormonalnego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7B0DEEA" w14:textId="77777777" w:rsidR="00F1705D" w:rsidRPr="002A05BA" w:rsidRDefault="00C4087D" w:rsidP="00FB6963">
            <w:pPr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talazoparyb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3A6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albo olaparyb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8160F" w:rsidRPr="002A05BA">
              <w:rPr>
                <w:rFonts w:ascii="Times New Roman" w:hAnsi="Times New Roman" w:cs="Times New Roman"/>
                <w:sz w:val="20"/>
                <w:szCs w:val="20"/>
              </w:rPr>
              <w:t>germinalnych</w:t>
            </w:r>
            <w:proofErr w:type="spellEnd"/>
            <w:r w:rsidR="0098160F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BRCA</w:t>
            </w:r>
            <w:r w:rsidR="000B21CF" w:rsidRPr="002A05BA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uprzednim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paliatywnym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okołooperacyjnej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udziałem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antracykliny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taksoidu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D50692" w:rsidRPr="002A05B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276462B1" w14:textId="77777777" w:rsidR="00F1705D" w:rsidRPr="002A05BA" w:rsidRDefault="006E37A7" w:rsidP="00FB6963">
            <w:pPr>
              <w:spacing w:line="276" w:lineRule="auto"/>
              <w:jc w:val="both"/>
            </w:pPr>
            <w:r w:rsidRPr="002A05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 programie istnieje </w:t>
            </w:r>
            <w:r w:rsidR="009B0BE2" w:rsidRPr="002A05BA">
              <w:rPr>
                <w:rFonts w:ascii="Times New Roman" w:hAnsi="Times New Roman"/>
                <w:color w:val="000000"/>
                <w:sz w:val="20"/>
                <w:szCs w:val="20"/>
              </w:rPr>
              <w:t>jednorazowa możliwość zastosowania terapii lekowej z użyciem inhibitorów PARP.</w:t>
            </w:r>
          </w:p>
          <w:p w14:paraId="512AF62B" w14:textId="77777777" w:rsidR="006E37A7" w:rsidRPr="002A05BA" w:rsidRDefault="006E37A7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32AF9A" w14:textId="77777777" w:rsidR="007C5B2F" w:rsidRPr="002A05BA" w:rsidRDefault="007C5B2F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0B33"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5AFD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1EA0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4B879AEF" w14:textId="77777777" w:rsidR="00F1705D" w:rsidRPr="002A05BA" w:rsidRDefault="00B52050" w:rsidP="00FB6963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C4FA38F" w14:textId="77777777" w:rsidR="00F1705D" w:rsidRPr="002A05BA" w:rsidRDefault="007C5B2F" w:rsidP="00FB6963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talazoparybem;</w:t>
            </w:r>
          </w:p>
          <w:p w14:paraId="06426B89" w14:textId="77777777" w:rsidR="00F1705D" w:rsidRPr="002A05BA" w:rsidRDefault="00033A6E" w:rsidP="00FB6963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olaparybem;</w:t>
            </w:r>
          </w:p>
          <w:p w14:paraId="3D241E4B" w14:textId="77777777" w:rsidR="00F1705D" w:rsidRPr="002A05BA" w:rsidRDefault="007C5B2F" w:rsidP="00FB6963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proofErr w:type="spellEnd"/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DAAED94" w14:textId="77777777" w:rsidR="00B52050" w:rsidRPr="002A05BA" w:rsidRDefault="00B5205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Ponadto,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kontynuowane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chirurgicznym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wczesnym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stadium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dużym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nawrotu.</w:t>
            </w:r>
          </w:p>
          <w:p w14:paraId="11690170" w14:textId="77777777" w:rsidR="00EA134C" w:rsidRPr="002A05BA" w:rsidRDefault="00EA134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68E1C9" w14:textId="77777777" w:rsidR="007C5B2F" w:rsidRPr="002A05BA" w:rsidRDefault="007C5B2F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A60DA" w:rsidRPr="002A05BA">
              <w:rPr>
                <w:rFonts w:ascii="Times New Roman" w:hAnsi="Times New Roman" w:cs="Times New Roman"/>
                <w:sz w:val="20"/>
                <w:szCs w:val="20"/>
              </w:rPr>
              <w:t>jeden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2A05BA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468D" w:rsidRPr="002A05BA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2A05BA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2A05BA">
              <w:rPr>
                <w:rFonts w:ascii="Times New Roman" w:hAnsi="Times New Roman" w:cs="Times New Roman"/>
                <w:sz w:val="20"/>
                <w:szCs w:val="20"/>
              </w:rPr>
              <w:t>poza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2A05BA">
              <w:rPr>
                <w:rFonts w:ascii="Times New Roman" w:hAnsi="Times New Roman" w:cs="Times New Roman"/>
                <w:sz w:val="20"/>
                <w:szCs w:val="20"/>
              </w:rPr>
              <w:t>programem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2A05BA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2A05BA">
              <w:rPr>
                <w:rFonts w:ascii="Times New Roman" w:hAnsi="Times New Roman" w:cs="Times New Roman"/>
                <w:sz w:val="20"/>
                <w:szCs w:val="20"/>
              </w:rPr>
              <w:t>stanowi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2A05BA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2A05BA">
              <w:rPr>
                <w:rFonts w:ascii="Times New Roman" w:hAnsi="Times New Roman" w:cs="Times New Roman"/>
                <w:sz w:val="20"/>
                <w:szCs w:val="20"/>
              </w:rPr>
              <w:t>linię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2A05BA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2E8D" w:rsidRPr="002A0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D2E8D"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.1.-</w:t>
            </w:r>
            <w:r w:rsidR="003D2E8D" w:rsidRPr="002A0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D2E8D"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04457"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  <w:p w14:paraId="46AA830F" w14:textId="77777777" w:rsidR="00F1705D" w:rsidRPr="002A05BA" w:rsidRDefault="00B52050" w:rsidP="00FB696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pembrolizumab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ekspresją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2BE2"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gemcytabiną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karboplatyną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(pierwsza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stwierdzono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farmakologicznego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nieoperacyjnego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systemowe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uznaje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wcześniejszej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założeniem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radykalnym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zakończonej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Zastosowanie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A05BA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A05BA">
              <w:rPr>
                <w:rFonts w:ascii="Times New Roman" w:hAnsi="Times New Roman" w:cs="Times New Roman"/>
                <w:sz w:val="20"/>
                <w:szCs w:val="20"/>
              </w:rPr>
              <w:t>wcześniejsz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immunoterapii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okołooperacyjnym</w:t>
            </w:r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672A248" w14:textId="77777777" w:rsidR="00F1705D" w:rsidRPr="002A05BA" w:rsidRDefault="007D1A4B" w:rsidP="00FB696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talaz</w:t>
            </w:r>
            <w:r w:rsidR="00572F4C" w:rsidRPr="002A05BA">
              <w:rPr>
                <w:rFonts w:ascii="Times New Roman" w:hAnsi="Times New Roman" w:cs="Times New Roman"/>
                <w:sz w:val="20"/>
                <w:szCs w:val="20"/>
              </w:rPr>
              <w:t>oparyb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3A6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albo olaparyb </w:t>
            </w:r>
            <w:r w:rsidR="00572F4C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2F4C" w:rsidRPr="002A05BA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2A05BA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2A05BA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8160F" w:rsidRPr="002A05BA">
              <w:rPr>
                <w:rFonts w:ascii="Times New Roman" w:hAnsi="Times New Roman" w:cs="Times New Roman"/>
                <w:sz w:val="20"/>
                <w:szCs w:val="20"/>
              </w:rPr>
              <w:t>germinalnych</w:t>
            </w:r>
            <w:proofErr w:type="spellEnd"/>
            <w:r w:rsidR="0098160F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BRCA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67E7" w:rsidRPr="002A05BA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musieli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otrzymać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chemioterapię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zawierającą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taksoid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antr</w:t>
            </w:r>
            <w:r w:rsidR="00485AFD"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cyklinę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485AFD"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okołooperacyjnym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paliatywnym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okołooperacyjnej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paliatywnej)</w:t>
            </w:r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6C850BD" w14:textId="77777777" w:rsidR="00F1705D" w:rsidRPr="002A05BA" w:rsidRDefault="00365A2F" w:rsidP="00FB696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sacytuzumab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639B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5639B" w:rsidRPr="002A05BA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2A05BA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2A05BA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czwartej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A05BA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E765F" w:rsidRPr="002A05BA">
              <w:rPr>
                <w:rFonts w:ascii="Times New Roman" w:hAnsi="Times New Roman" w:cs="Times New Roman"/>
                <w:sz w:val="20"/>
                <w:szCs w:val="20"/>
              </w:rPr>
              <w:t>nieresekcyjnego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E7571F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wymagane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2A05BA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2A05B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2A05BA">
              <w:rPr>
                <w:rFonts w:ascii="Times New Roman" w:hAnsi="Times New Roman" w:cs="Times New Roman"/>
                <w:sz w:val="20"/>
                <w:szCs w:val="20"/>
              </w:rPr>
              <w:t>dwie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2A05B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paliatywnego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2A05BA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okołooperacyjnie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wymagana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paliatywnego).</w:t>
            </w:r>
          </w:p>
          <w:p w14:paraId="0DCE3F6D" w14:textId="77777777" w:rsidR="00EE2BB0" w:rsidRPr="002A05BA" w:rsidRDefault="00EE2BB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Ponadto,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kontynuowane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chirurgicznym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wczesnym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stadium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dużym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nawrotu.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35BF" w:rsidRPr="002A05BA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2A05BA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2A05BA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2A05BA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5520" w:rsidRPr="002A05BA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2A05BA">
              <w:rPr>
                <w:rFonts w:ascii="Times New Roman" w:hAnsi="Times New Roman" w:cs="Times New Roman"/>
                <w:sz w:val="20"/>
                <w:szCs w:val="20"/>
              </w:rPr>
              <w:t>immunoterapii.</w:t>
            </w:r>
          </w:p>
          <w:p w14:paraId="3C63E721" w14:textId="77777777" w:rsidR="00705EF6" w:rsidRPr="002A05BA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6AF1C" w14:textId="77777777" w:rsidR="00F1705D" w:rsidRPr="002A05BA" w:rsidRDefault="0063355B" w:rsidP="00FB6963">
            <w:pPr>
              <w:pStyle w:val="Akapitzlist"/>
              <w:numPr>
                <w:ilvl w:val="0"/>
                <w:numId w:val="22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wczesnego raka piersi</w:t>
            </w:r>
          </w:p>
          <w:p w14:paraId="1898A203" w14:textId="77777777" w:rsidR="00F1705D" w:rsidRPr="002A05BA" w:rsidRDefault="00971D9B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wczesnego,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E6208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E6208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E6208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obejmuje:</w:t>
            </w:r>
          </w:p>
          <w:p w14:paraId="328C0297" w14:textId="77777777" w:rsidR="00F1705D" w:rsidRPr="002A05BA" w:rsidRDefault="00A468E5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proofErr w:type="spellEnd"/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1C0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1C0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1C0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1C0"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404C28DB" w14:textId="77777777" w:rsidR="00971D9B" w:rsidRPr="002A05BA" w:rsidRDefault="00971D9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</w:p>
          <w:p w14:paraId="44C836C5" w14:textId="77777777" w:rsidR="00F1705D" w:rsidRPr="002A05BA" w:rsidRDefault="00A468E5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proofErr w:type="spellEnd"/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4FE9FBE8" w14:textId="77777777" w:rsidR="00971D9B" w:rsidRPr="002A05BA" w:rsidRDefault="00847ACF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E71D30A" w14:textId="77777777" w:rsidR="00F1705D" w:rsidRPr="002A05BA" w:rsidRDefault="00A468E5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proofErr w:type="spellEnd"/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4FBA05B7" w14:textId="77777777" w:rsidR="00720F17" w:rsidRPr="002A05BA" w:rsidRDefault="00720F17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</w:p>
          <w:p w14:paraId="2E7A2A94" w14:textId="77777777" w:rsidR="00F1705D" w:rsidRPr="002A05BA" w:rsidRDefault="00A468E5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proofErr w:type="spellEnd"/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9C05CC" w:rsidRPr="002A05BA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6A64" w:rsidRPr="002A05BA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C0353A" w14:textId="77777777" w:rsidR="00507B13" w:rsidRPr="002A05BA" w:rsidRDefault="00507B13" w:rsidP="00D92ACE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C6B429" w14:textId="77777777" w:rsidR="00971D9B" w:rsidRPr="002A05BA" w:rsidRDefault="00DE6208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E039C5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wczesnego,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HER2-dodatniego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</w:t>
            </w:r>
            <w:r w:rsidR="00EA5ADE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00FA4451" w14:textId="77777777" w:rsidR="00F1705D" w:rsidRPr="002A05BA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E6208" w:rsidRPr="002A05BA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histologiczn</w:t>
            </w:r>
            <w:r w:rsidR="00DE6208" w:rsidRPr="002A05B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2A05BA">
              <w:rPr>
                <w:rFonts w:ascii="Times New Roman" w:hAnsi="Times New Roman" w:cs="Times New Roman"/>
                <w:sz w:val="20"/>
                <w:szCs w:val="20"/>
              </w:rPr>
              <w:t>inwazyjny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2A05BA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1C1B8C7A" w14:textId="77777777" w:rsidR="00F1705D" w:rsidRPr="002A05BA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E6208" w:rsidRPr="002A05BA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6208"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dekspresja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2A05BA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(wynik/3+/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ISH);</w:t>
            </w:r>
          </w:p>
          <w:p w14:paraId="67E8EEDF" w14:textId="77777777" w:rsidR="00F1705D" w:rsidRPr="002A05BA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topień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zaawansowania:</w:t>
            </w:r>
          </w:p>
          <w:p w14:paraId="6E20E273" w14:textId="77777777" w:rsidR="00F1705D" w:rsidRPr="002A05BA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neoadjuwantowego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E9C3A7A" w14:textId="77777777" w:rsidR="00F1705D" w:rsidRPr="002A05BA" w:rsidRDefault="009C46F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operacyjny,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obecny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regionalnego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węzła/węzłów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FF4054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A7C5F51" w14:textId="77777777" w:rsidR="009C46FB" w:rsidRPr="002A05BA" w:rsidRDefault="009C46FB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0619027" w14:textId="77777777" w:rsidR="00F1705D" w:rsidRPr="002A05BA" w:rsidRDefault="009C46F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nieoperacyjny,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58227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9E3E6F5" w14:textId="77777777" w:rsidR="00971D9B" w:rsidRPr="002A05BA" w:rsidRDefault="00971D9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7202716" w14:textId="77777777" w:rsidR="00F1705D" w:rsidRPr="002A05BA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neoadjuwantowego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chemioterapią:</w:t>
            </w:r>
          </w:p>
          <w:p w14:paraId="478847EA" w14:textId="77777777" w:rsidR="00F1705D" w:rsidRPr="002A05BA" w:rsidRDefault="009C46F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operacyjny,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obecny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regionalnego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węzła/węzłów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proofErr w:type="spellEnd"/>
            <w:r w:rsidR="00FF4054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23BBC71" w14:textId="77777777" w:rsidR="009C46FB" w:rsidRPr="002A05BA" w:rsidRDefault="009C46FB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8B90C1F" w14:textId="77777777" w:rsidR="00F1705D" w:rsidRPr="002A05BA" w:rsidRDefault="009C46F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nieoperacyjny,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68252B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E12EFA1" w14:textId="77777777" w:rsidR="00971D9B" w:rsidRPr="002A05BA" w:rsidRDefault="009C46F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albo</w:t>
            </w:r>
          </w:p>
          <w:p w14:paraId="477FE2AF" w14:textId="77777777" w:rsidR="00F1705D" w:rsidRPr="002A05BA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68A8" w:rsidRPr="002A05BA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adjuwantowego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0281C55" w14:textId="77777777" w:rsidR="00F1705D" w:rsidRPr="002A05BA" w:rsidRDefault="00971D9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wyjściowo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2A05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cecha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cN1,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2A05BA">
              <w:rPr>
                <w:rFonts w:ascii="Times New Roman" w:hAnsi="Times New Roman" w:cs="Times New Roman"/>
                <w:sz w:val="20"/>
                <w:szCs w:val="20"/>
              </w:rPr>
              <w:t>otrzymały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systemowe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chemioterapią),</w:t>
            </w:r>
          </w:p>
          <w:p w14:paraId="6DD3AAAA" w14:textId="77777777" w:rsidR="00971D9B" w:rsidRPr="002A05BA" w:rsidRDefault="00507B13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</w:p>
          <w:p w14:paraId="6C472807" w14:textId="77777777" w:rsidR="00F1705D" w:rsidRPr="002A05BA" w:rsidRDefault="00F051CF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rednica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komponentu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2A05BA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2A05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przerzutu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regionalnych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stwierdzone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przedoperacyjnego,</w:t>
            </w:r>
          </w:p>
          <w:p w14:paraId="00D78085" w14:textId="77777777" w:rsidR="006A559B" w:rsidRPr="002A05BA" w:rsidRDefault="006A559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66A180D" w14:textId="77777777" w:rsidR="00F1705D" w:rsidRPr="002A05BA" w:rsidRDefault="008B04D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miejscowy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(ściana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pierś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oszczędzającym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leczeniu)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regionalny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(węzły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chłonne)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doszczętnym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tego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nawrotu,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F298B3C" w14:textId="77777777" w:rsidR="00CD3DB8" w:rsidRPr="002A05BA" w:rsidRDefault="00CD3DB8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7CF39F0" w14:textId="77777777" w:rsidR="00F1705D" w:rsidRPr="002A05BA" w:rsidRDefault="00436F41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adjuwantowego</w:t>
            </w:r>
            <w:proofErr w:type="spellEnd"/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F0126E" w:rsidRPr="002A05BA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F0126E" w:rsidRPr="002A05BA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proofErr w:type="spellEnd"/>
            <w:r w:rsidR="00F71373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3EE8E6A" w14:textId="77777777" w:rsidR="00F1705D" w:rsidRPr="002A05BA" w:rsidRDefault="00F71373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pierwotny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I-III</w:t>
            </w:r>
            <w:r w:rsidR="00454FBC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1DA7DBC" w14:textId="77777777" w:rsidR="00F71373" w:rsidRPr="002A05BA" w:rsidRDefault="009A04A6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6164746" w14:textId="77777777" w:rsidR="00F1705D" w:rsidRPr="002A05BA" w:rsidRDefault="00F71373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zakończona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zawierająca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taksoid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454FBC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FB92830" w14:textId="77777777" w:rsidR="009A04A6" w:rsidRPr="002A05BA" w:rsidRDefault="009A04A6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6D479885" w14:textId="77777777" w:rsidR="00F1705D" w:rsidRPr="002A05BA" w:rsidRDefault="007630B6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patomorfologiczne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resztkowej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węzłach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pachy</w:t>
            </w:r>
            <w:r w:rsidR="00F71373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EB31369" w14:textId="77777777" w:rsidR="00F1705D" w:rsidRPr="002A05BA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rzebyte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lecze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planowane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założeniu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radykalnym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polegające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na:</w:t>
            </w:r>
          </w:p>
          <w:p w14:paraId="66FC8EF7" w14:textId="77777777" w:rsidR="00F1705D" w:rsidRPr="002A05BA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amputacji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wycięciu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pachowych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węzła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wartowniczego,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  <w:proofErr w:type="spellEnd"/>
            <w:r w:rsidR="0055464C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2058242" w14:textId="77777777" w:rsidR="00971D9B" w:rsidRPr="002A05BA" w:rsidRDefault="00971D9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862E05D" w14:textId="77777777" w:rsidR="00F1705D" w:rsidRPr="002A05BA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wycięciu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marginesem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tkanek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prawidłowych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pachowych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węzła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wartowniczego,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uzupełniającą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radioterapią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całej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oszczędzające).</w:t>
            </w:r>
          </w:p>
          <w:p w14:paraId="74462713" w14:textId="77777777" w:rsidR="00971D9B" w:rsidRPr="002A05BA" w:rsidRDefault="00971D9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Przedmiotowe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kwalifikowanych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2560C32" w14:textId="77777777" w:rsidR="00F1705D" w:rsidRPr="002A05BA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74E59" w:rsidRPr="002A05BA">
              <w:rPr>
                <w:rFonts w:ascii="Times New Roman" w:hAnsi="Times New Roman" w:cs="Times New Roman"/>
                <w:sz w:val="20"/>
                <w:szCs w:val="20"/>
              </w:rPr>
              <w:t>artość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2A05BA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2A05B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2A05BA">
              <w:rPr>
                <w:rFonts w:ascii="Times New Roman" w:hAnsi="Times New Roman" w:cs="Times New Roman"/>
                <w:sz w:val="20"/>
                <w:szCs w:val="20"/>
              </w:rPr>
              <w:t>50%;</w:t>
            </w:r>
          </w:p>
          <w:p w14:paraId="7A1EC396" w14:textId="77777777" w:rsidR="00F1705D" w:rsidRPr="002A05BA" w:rsidRDefault="002A79D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09424124" w14:textId="77777777" w:rsidR="00F1705D" w:rsidRPr="002A05BA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WHO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F051CF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DC9A811" w14:textId="77777777" w:rsidR="00F1705D" w:rsidRPr="002A05BA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2E41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2A05BA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2A05BA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2A05BA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417189" w14:textId="77777777" w:rsidR="00F1705D" w:rsidRPr="002A05BA" w:rsidRDefault="00E87BE9" w:rsidP="00FB6963">
            <w:pPr>
              <w:pStyle w:val="Akapitzlist"/>
              <w:numPr>
                <w:ilvl w:val="3"/>
                <w:numId w:val="22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63355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przypadku współistnienia innych aktywnych nowotworów kwalifikacja do leczenia musi uwzględniać rokowanie związane ze współistniejącym nowotworem.</w:t>
            </w:r>
          </w:p>
          <w:p w14:paraId="05AD7B0D" w14:textId="77777777" w:rsidR="00221F54" w:rsidRPr="002A05BA" w:rsidRDefault="001C5F0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221F54" w:rsidRPr="002A05BA">
              <w:rPr>
                <w:rFonts w:ascii="Times New Roman" w:hAnsi="Times New Roman" w:cs="Times New Roman"/>
                <w:sz w:val="20"/>
                <w:szCs w:val="20"/>
              </w:rPr>
              <w:t>ryteria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2A05B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2A05BA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2A05BA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2A05BA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2A05BA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6B5652E0" w14:textId="77777777" w:rsidR="00E27F1D" w:rsidRPr="002A05BA" w:rsidRDefault="00E27F1D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B63B35" w14:textId="77777777" w:rsidR="00F2763F" w:rsidRPr="002A05BA" w:rsidRDefault="00D96DEC" w:rsidP="00D92ACE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Ponadto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lekowego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2A05BA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2A05BA">
              <w:rPr>
                <w:rFonts w:eastAsiaTheme="minorHAnsi"/>
                <w:sz w:val="20"/>
                <w:szCs w:val="20"/>
                <w:lang w:eastAsia="en-US"/>
              </w:rPr>
              <w:t>zakresie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2A05BA">
              <w:rPr>
                <w:rFonts w:eastAsiaTheme="minorHAnsi"/>
                <w:sz w:val="20"/>
                <w:szCs w:val="20"/>
                <w:lang w:eastAsia="en-US"/>
              </w:rPr>
              <w:t>leczenia,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2A05BA">
              <w:rPr>
                <w:rFonts w:eastAsiaTheme="minorHAnsi"/>
                <w:sz w:val="20"/>
                <w:szCs w:val="20"/>
                <w:lang w:eastAsia="en-US"/>
              </w:rPr>
              <w:t>HER2</w:t>
            </w:r>
            <w:r w:rsidR="00FA2F38" w:rsidRPr="002A05BA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FB5063" w:rsidRPr="002A05BA">
              <w:rPr>
                <w:rFonts w:eastAsiaTheme="minorHAnsi"/>
                <w:sz w:val="20"/>
                <w:szCs w:val="20"/>
                <w:lang w:eastAsia="en-US"/>
              </w:rPr>
              <w:t>dodatniego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2A05BA">
              <w:rPr>
                <w:rFonts w:eastAsiaTheme="minorHAnsi"/>
                <w:sz w:val="20"/>
                <w:szCs w:val="20"/>
                <w:lang w:eastAsia="en-US"/>
              </w:rPr>
              <w:t>raka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2A05BA">
              <w:rPr>
                <w:rFonts w:eastAsiaTheme="minorHAnsi"/>
                <w:sz w:val="20"/>
                <w:szCs w:val="20"/>
                <w:lang w:eastAsia="en-US"/>
              </w:rPr>
              <w:t>piersi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kwalifikowani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są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również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pacjenci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wymagający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kontynuacji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leczenia,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którzy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byli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leczeni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substancjami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czynnymi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finansowanymi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programie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lekowym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ramach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innego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sposobu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finansowania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terapii,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za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wyjątkiem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trwających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badań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klinicznych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tych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leków,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pod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warunkiem,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że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chwili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rozpoczęcia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spełniali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kryteria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kwalifikacji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lekowego.</w:t>
            </w:r>
          </w:p>
          <w:p w14:paraId="0F0A4662" w14:textId="77777777" w:rsidR="00E87BE9" w:rsidRPr="005E294F" w:rsidRDefault="00E87BE9" w:rsidP="005E294F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62E7C2B9" w14:textId="77777777" w:rsidR="00D25DD4" w:rsidRPr="005E294F" w:rsidRDefault="00D25DD4" w:rsidP="005E294F">
            <w:pPr>
              <w:numPr>
                <w:ilvl w:val="1"/>
                <w:numId w:val="2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wczesnego HR-dodatniego, HER2-ujemnego raka piersi w programie obejmuje:</w:t>
            </w:r>
          </w:p>
          <w:p w14:paraId="70261D3A" w14:textId="77777777" w:rsidR="00D25DD4" w:rsidRPr="005E294F" w:rsidRDefault="00D25DD4" w:rsidP="005E294F">
            <w:pPr>
              <w:numPr>
                <w:ilvl w:val="2"/>
                <w:numId w:val="2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Leczenie pooperacyjne (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proofErr w:type="spellEnd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) raka piersi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w skojarzeniu z hormonoterapią dorosłych pacjentów we wczesnym stadium raka piersi wykazującego ekspresję receptora hormonalnego i niewykazującego ekspresji receptora typu 2. dla ludzkiego naskórkowego czynnika wzrostu, z przerzutami do węzłów chłonnych z wysokim ryzykiem nawrotu.</w:t>
            </w:r>
          </w:p>
          <w:p w14:paraId="013C3B1A" w14:textId="77777777" w:rsidR="00D25DD4" w:rsidRPr="005E294F" w:rsidRDefault="00D25DD4" w:rsidP="005E294F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B3FFD3" w14:textId="77777777" w:rsidR="00D25DD4" w:rsidRPr="005E294F" w:rsidRDefault="00D25DD4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 kwalifikacji wczesnego HR-dodatniego, HER2-ujemnego raka piersi:</w:t>
            </w:r>
          </w:p>
          <w:p w14:paraId="5A6A4860" w14:textId="77777777" w:rsidR="00D25DD4" w:rsidRPr="005E294F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>1) wiek 18 lat i powyżej;</w:t>
            </w:r>
          </w:p>
          <w:p w14:paraId="3A676085" w14:textId="77777777" w:rsidR="00D25DD4" w:rsidRPr="005E294F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>2) potwierdzony histologicznie inwazyjny rak piersi;</w:t>
            </w:r>
          </w:p>
          <w:p w14:paraId="2AEE9965" w14:textId="77777777" w:rsidR="00D25DD4" w:rsidRPr="005E294F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3) udokumentowana ekspresja steroidowych receptorów hormonalnych </w:t>
            </w:r>
            <w:r w:rsidRPr="005E294F">
              <w:rPr>
                <w:rFonts w:ascii="Cambria Math" w:eastAsia="Calibri" w:hAnsi="Cambria Math" w:cs="Cambria Math"/>
                <w:sz w:val="20"/>
                <w:szCs w:val="20"/>
              </w:rPr>
              <w:t>⩾</w:t>
            </w:r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1%; </w:t>
            </w:r>
          </w:p>
          <w:p w14:paraId="1E7F91AF" w14:textId="77777777" w:rsidR="00D25DD4" w:rsidRPr="005E294F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>4) udokumentowany brak nadmiernej ekspresji receptora HER2 w komórkach raka (wynik /0 lub 1+/ w badaniu IHC) lub brak amplifikacji genu HER2 (wynik /-/ w badaniu metodą hybrydyzacji in situ (ISH));</w:t>
            </w:r>
          </w:p>
          <w:p w14:paraId="1F049FD2" w14:textId="77777777" w:rsidR="00D25DD4" w:rsidRPr="005E294F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>5) obecność następujących cech wysokiego ryzyka nawrotu określonych klinicznie lub patomorfologicznie:</w:t>
            </w:r>
          </w:p>
          <w:p w14:paraId="0F740C71" w14:textId="77777777" w:rsidR="00D25DD4" w:rsidRPr="005E294F" w:rsidRDefault="00D25DD4" w:rsidP="005E294F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>≥ 4 zajęte przerzutami pachowe węzły chłonne,</w:t>
            </w:r>
          </w:p>
          <w:p w14:paraId="720DF3A9" w14:textId="77777777" w:rsidR="00D25DD4" w:rsidRPr="005E294F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</w:p>
          <w:p w14:paraId="59A998D2" w14:textId="36E9ACBB" w:rsidR="00117E26" w:rsidRPr="005E294F" w:rsidRDefault="00117E26" w:rsidP="005E294F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1-3 zajęte pachowe węzły chłonne i co najmniej jedno z następujących kryteriów: </w:t>
            </w:r>
          </w:p>
          <w:p w14:paraId="5A58997D" w14:textId="1204F377" w:rsidR="00117E26" w:rsidRPr="005E294F" w:rsidRDefault="00117E26" w:rsidP="005E294F">
            <w:pPr>
              <w:autoSpaceDE w:val="0"/>
              <w:autoSpaceDN w:val="0"/>
              <w:adjustRightInd w:val="0"/>
              <w:spacing w:after="60" w:line="276" w:lineRule="auto"/>
              <w:ind w:left="907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>a)</w:t>
            </w:r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 xml:space="preserve">wielkość zmiany nowotworowej ≥ 5 cm (w przypadku chorych po przebytym leczeniu </w:t>
            </w:r>
            <w:proofErr w:type="spellStart"/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>neoadiuwantowym</w:t>
            </w:r>
            <w:proofErr w:type="spellEnd"/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wielkość oceniona w badaniach obrazowych), </w:t>
            </w:r>
          </w:p>
          <w:p w14:paraId="777F302A" w14:textId="7BA59BE5" w:rsidR="00117E26" w:rsidRPr="005E294F" w:rsidRDefault="00117E26" w:rsidP="005E294F">
            <w:pPr>
              <w:autoSpaceDE w:val="0"/>
              <w:autoSpaceDN w:val="0"/>
              <w:adjustRightInd w:val="0"/>
              <w:spacing w:after="60" w:line="276" w:lineRule="auto"/>
              <w:ind w:left="907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>b)</w:t>
            </w:r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stopień złośliwości histologicznej G3</w:t>
            </w:r>
            <w:r w:rsidR="0011381A"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4B9215CC" w14:textId="77777777" w:rsidR="00D25DD4" w:rsidRPr="005E294F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>6) przebyte leczenie chirurgiczne o założeniu radykalnym polegające na:</w:t>
            </w:r>
          </w:p>
          <w:p w14:paraId="3E5B1EB5" w14:textId="77777777" w:rsidR="00D25DD4" w:rsidRPr="005E294F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a) amputacji piersi oraz wycięciu pachowych węzłów chłonnych lub biopsji węzła wartowniczego, której wynik nie uzasadnia wykonania </w:t>
            </w:r>
            <w:proofErr w:type="spellStart"/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>limfadenektomii</w:t>
            </w:r>
            <w:proofErr w:type="spellEnd"/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48B5D94C" w14:textId="77777777" w:rsidR="00D25DD4" w:rsidRPr="005E294F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</w:p>
          <w:p w14:paraId="035E26C2" w14:textId="77777777" w:rsidR="00D25DD4" w:rsidRPr="005E294F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b) wycięciu guza z marginesem tkanek prawidłowych oraz pachowych węzłów chłonnych lub biopsji węzła wartowniczego, której wynik nie uzasadnia wykonania </w:t>
            </w:r>
            <w:proofErr w:type="spellStart"/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>limfadenektomii</w:t>
            </w:r>
            <w:proofErr w:type="spellEnd"/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uzupełniającą radioterapią całej piersi (leczenie oszczędzające);</w:t>
            </w:r>
          </w:p>
          <w:p w14:paraId="4E019467" w14:textId="77777777" w:rsidR="00D25DD4" w:rsidRPr="005E294F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7) sprawność w stopniu 0-1 według kryteriów </w:t>
            </w:r>
            <w:proofErr w:type="spellStart"/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>Zubroda</w:t>
            </w:r>
            <w:proofErr w:type="spellEnd"/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>-WHO lub ECOG;</w:t>
            </w:r>
          </w:p>
          <w:p w14:paraId="2DA7088A" w14:textId="77777777" w:rsidR="00D25DD4" w:rsidRPr="005E294F" w:rsidRDefault="00D25DD4" w:rsidP="005E294F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>wykluczenie ciąży i okresu karmienia piersią;</w:t>
            </w:r>
          </w:p>
          <w:p w14:paraId="7BFF56CB" w14:textId="77777777" w:rsidR="00D25DD4" w:rsidRPr="005E294F" w:rsidRDefault="00D25DD4" w:rsidP="005E294F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adekwatna wydolność narządowa określona na podstawie wyników badań laboratoryjnych krwi zgodnie z zapisami Charakterystyki Produktu Leczniczego;</w:t>
            </w:r>
          </w:p>
          <w:p w14:paraId="0DB1A096" w14:textId="77777777" w:rsidR="00D25DD4" w:rsidRPr="005E294F" w:rsidRDefault="00D25DD4" w:rsidP="005E294F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584" w:hanging="3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brak przeciwwskazań do stosowania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26A5143" w14:textId="77777777" w:rsidR="00D25DD4" w:rsidRPr="005E294F" w:rsidRDefault="00D25DD4" w:rsidP="005E294F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584" w:hanging="3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nieobecność istotnych klinicznie i niekontrolowanych stosowanym postępowaniem farmakologicznym chorób współistniejących stanowiących przeciwwskazanie do leczenia;</w:t>
            </w:r>
          </w:p>
          <w:p w14:paraId="73BC6F13" w14:textId="77777777" w:rsidR="00D25DD4" w:rsidRPr="005E294F" w:rsidRDefault="00D25DD4" w:rsidP="005E294F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584" w:hanging="3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 przypadku współistnienia innych aktywnych nowotworów kwalifikacja do leczenia musi uwzględniać rokowanie związane ze współistniejącym nowotworem.</w:t>
            </w:r>
          </w:p>
          <w:p w14:paraId="1EFE0FEF" w14:textId="77777777" w:rsidR="00D25DD4" w:rsidRPr="005E294F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>Powyższe kryteria kwalifikacji muszą być spełnione łącznie.</w:t>
            </w:r>
          </w:p>
          <w:p w14:paraId="13B60A2F" w14:textId="77777777" w:rsidR="00D25DD4" w:rsidRPr="005E294F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9B1760E" w14:textId="3AFC2BEA" w:rsidR="00D25DD4" w:rsidRPr="005E294F" w:rsidRDefault="00D25DD4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Ponadto do programu lekowego w zakresie leczenia wczesnego, HER2-ujemnego raka piersi kwalifikowani są również pacjenci, którzy byli leczeni w ramach innego sposobu finansowania terapii, </w:t>
            </w:r>
            <w:r w:rsidR="0011381A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za wyjątkiem trwających badań klinicznych tych leków, pod warunkiem, że w chwili rozpoczęcia leczenia spełniali kryteria kwalifikacji do programu lekowego. </w:t>
            </w:r>
          </w:p>
          <w:p w14:paraId="586CD9AE" w14:textId="77777777" w:rsidR="00D25DD4" w:rsidRDefault="00D25DD4" w:rsidP="00D25DD4">
            <w:pPr>
              <w:pStyle w:val="Akapitzlist"/>
              <w:spacing w:after="60"/>
              <w:ind w:left="22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83AE72F" w14:textId="630881EA" w:rsidR="00F1705D" w:rsidRPr="002A05BA" w:rsidRDefault="0063355B" w:rsidP="00FB6963">
            <w:pPr>
              <w:pStyle w:val="Akapitzlist"/>
              <w:numPr>
                <w:ilvl w:val="1"/>
                <w:numId w:val="22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Leczenie wczesnego HER2-ujemnego </w:t>
            </w:r>
            <w:r w:rsidR="008A550E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 potrójnie ujemnego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 piersi w programie obejmuje:</w:t>
            </w:r>
          </w:p>
          <w:p w14:paraId="26C3B7CA" w14:textId="77777777" w:rsidR="00F1705D" w:rsidRPr="002A05BA" w:rsidRDefault="00AD45EE" w:rsidP="003649D0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 pooperacyjne (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) raka piersi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w monoterapii lub w skojarzeniu z terapią hormonalną pacjentów z </w:t>
            </w:r>
            <w:proofErr w:type="spellStart"/>
            <w:r w:rsidR="0098160F" w:rsidRPr="002A05BA">
              <w:rPr>
                <w:rFonts w:ascii="Times New Roman" w:hAnsi="Times New Roman" w:cs="Times New Roman"/>
                <w:sz w:val="20"/>
                <w:szCs w:val="20"/>
              </w:rPr>
              <w:t>germinalnymi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mutacjami BRCA1/2, u których występuje HER2</w:t>
            </w:r>
            <w:r w:rsidR="00FA2F38"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ujemny wczesny rak piersi wysokiego ryzyka, leczony wcześniej chemioterapią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neoadjuwantową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adjuwantową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D6E7F53" w14:textId="77777777" w:rsidR="00F1705D" w:rsidRPr="002A05BA" w:rsidRDefault="00F1705D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eastAsia="PMingLiU" w:hAnsi="Times New Roman"/>
                <w:b/>
                <w:color w:val="000000" w:themeColor="text1"/>
                <w:sz w:val="20"/>
                <w:szCs w:val="20"/>
                <w:lang w:eastAsia="zh-TW"/>
              </w:rPr>
            </w:pPr>
          </w:p>
          <w:p w14:paraId="53175CCE" w14:textId="77777777" w:rsidR="00F1705D" w:rsidRPr="002A05BA" w:rsidRDefault="0063355B" w:rsidP="003649D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 kwalifikacji wczesnego, HER2-ujemnego raka piersi</w:t>
            </w:r>
            <w:r w:rsidR="00AD45EE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425039E1" w14:textId="77777777" w:rsidR="00F1705D" w:rsidRPr="002A05BA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wiek 18 lat i powyżej;</w:t>
            </w:r>
          </w:p>
          <w:p w14:paraId="1AC94DEC" w14:textId="77777777" w:rsidR="00F1705D" w:rsidRPr="002A05BA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>otwierdzony histologicznie inwazyjny rak piersi bez przerzutów odległych (tj. cecha M0 w klasyfikacji TNM);</w:t>
            </w:r>
          </w:p>
          <w:p w14:paraId="37BF20C4" w14:textId="77777777" w:rsidR="00F1705D" w:rsidRPr="002A05BA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dokumentowany brak </w:t>
            </w:r>
            <w:proofErr w:type="spellStart"/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proofErr w:type="spellEnd"/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receptora HER2 </w:t>
            </w:r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br/>
              <w:t>w komórkach raka (wynik /0 lub 1+/ w badaniu IHC) lub brak amplifikacji genu HER2 (wynik /-/ w badaniu metodą hybrydyzacji in situ (ISH));</w:t>
            </w:r>
            <w:r w:rsidR="00E87BE9" w:rsidRPr="002A05BA" w:rsidDel="00BD4D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A58C45D" w14:textId="77777777" w:rsidR="00F1705D" w:rsidRPr="002A05BA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>becność patogennej lub prawdopodobnie patogennej mutacji w genie BRCA1 lub w BRCA2 (</w:t>
            </w:r>
            <w:proofErr w:type="spellStart"/>
            <w:r w:rsidR="0098160F" w:rsidRPr="002A05BA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proofErr w:type="spellEnd"/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A71F05C" w14:textId="77777777" w:rsidR="00F1705D" w:rsidRPr="002A05BA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akończone miejscowe leczenie chirurgiczne piersi lub węzłów pachowych (chorzy po zabiegach chirurgicznych muszą ukończyć radioterapię </w:t>
            </w:r>
            <w:proofErr w:type="spellStart"/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>adjuwantową</w:t>
            </w:r>
            <w:proofErr w:type="spellEnd"/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o ile jest wskazana);</w:t>
            </w:r>
          </w:p>
          <w:p w14:paraId="001EEBB1" w14:textId="77777777" w:rsidR="00F1705D" w:rsidRPr="002A05BA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kończenie chemioterapii </w:t>
            </w:r>
            <w:proofErr w:type="spellStart"/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proofErr w:type="spellEnd"/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>neoadjuwantowej</w:t>
            </w:r>
            <w:proofErr w:type="spellEnd"/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;  </w:t>
            </w:r>
          </w:p>
          <w:p w14:paraId="3D4498ED" w14:textId="77777777" w:rsidR="00F1705D" w:rsidRPr="002A05BA" w:rsidRDefault="00E87BE9" w:rsidP="003649D0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ind w:left="708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 xml:space="preserve">a) </w:t>
            </w:r>
            <w:r w:rsidR="00605A59" w:rsidRPr="002A05BA">
              <w:rPr>
                <w:rFonts w:ascii="Times New Roman" w:hAnsi="Times New Roman"/>
                <w:sz w:val="20"/>
                <w:szCs w:val="20"/>
              </w:rPr>
              <w:t xml:space="preserve">rak piersi </w:t>
            </w:r>
            <w:r w:rsidRPr="002A05BA">
              <w:rPr>
                <w:rFonts w:ascii="Times New Roman" w:hAnsi="Times New Roman"/>
                <w:sz w:val="20"/>
                <w:szCs w:val="20"/>
              </w:rPr>
              <w:t>potrójnie ujemny:</w:t>
            </w:r>
          </w:p>
          <w:p w14:paraId="0BAB9BB6" w14:textId="77777777" w:rsidR="00F1705D" w:rsidRPr="002A05BA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 xml:space="preserve">- w </w:t>
            </w:r>
            <w:r w:rsidR="00605A59" w:rsidRPr="002A05BA">
              <w:rPr>
                <w:rFonts w:ascii="Times New Roman" w:hAnsi="Times New Roman"/>
                <w:sz w:val="20"/>
                <w:szCs w:val="20"/>
              </w:rPr>
              <w:t xml:space="preserve">przypadku chorych pierwotnie poddanych leczeniu operacyjnemu i chemioterapii </w:t>
            </w:r>
            <w:proofErr w:type="spellStart"/>
            <w:r w:rsidR="00605A59" w:rsidRPr="002A05BA">
              <w:rPr>
                <w:rFonts w:ascii="Times New Roman" w:hAnsi="Times New Roman"/>
                <w:sz w:val="20"/>
                <w:szCs w:val="20"/>
              </w:rPr>
              <w:t>adjuwantowej</w:t>
            </w:r>
            <w:proofErr w:type="spellEnd"/>
            <w:r w:rsidR="00605A59" w:rsidRPr="002A05BA">
              <w:rPr>
                <w:rFonts w:ascii="Times New Roman" w:hAnsi="Times New Roman"/>
                <w:sz w:val="20"/>
                <w:szCs w:val="20"/>
              </w:rPr>
              <w:t xml:space="preserve"> -  pierwotny guz piersi o dowolnej średnicy i patomorfologicznie potwierdzona obecność przerzutów w pachowych węzłach chłonnych (cecha ≥pN1) lub inwazyjny guz pierwotny o średnicy przynajmniej 2 cm (cecha ≥pT2)</w:t>
            </w:r>
            <w:r w:rsidR="0055464C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1814E49" w14:textId="77777777" w:rsidR="00F1705D" w:rsidRPr="002A05BA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 xml:space="preserve">- w </w:t>
            </w:r>
            <w:r w:rsidR="00605A59" w:rsidRPr="002A05BA">
              <w:rPr>
                <w:rFonts w:ascii="Times New Roman" w:hAnsi="Times New Roman"/>
                <w:sz w:val="20"/>
                <w:szCs w:val="20"/>
              </w:rPr>
              <w:t xml:space="preserve">przypadku chorych którzy otrzymali chemioterapię </w:t>
            </w:r>
            <w:proofErr w:type="spellStart"/>
            <w:r w:rsidR="00605A59" w:rsidRPr="002A05BA">
              <w:rPr>
                <w:rFonts w:ascii="Times New Roman" w:hAnsi="Times New Roman"/>
                <w:sz w:val="20"/>
                <w:szCs w:val="20"/>
              </w:rPr>
              <w:t>neoadjuwantową</w:t>
            </w:r>
            <w:proofErr w:type="spellEnd"/>
            <w:r w:rsidR="00605A59" w:rsidRPr="002A05BA">
              <w:rPr>
                <w:rFonts w:ascii="Times New Roman" w:hAnsi="Times New Roman"/>
                <w:sz w:val="20"/>
                <w:szCs w:val="20"/>
              </w:rPr>
              <w:t xml:space="preserve"> - nieuzyskanie całkowitej odpowiedzi potwierdzone w badaniu patomorfologicznym (non-</w:t>
            </w:r>
            <w:proofErr w:type="spellStart"/>
            <w:r w:rsidR="00605A59" w:rsidRPr="002A05BA">
              <w:rPr>
                <w:rFonts w:ascii="Times New Roman" w:hAnsi="Times New Roman"/>
                <w:sz w:val="20"/>
                <w:szCs w:val="20"/>
              </w:rPr>
              <w:t>pCR</w:t>
            </w:r>
            <w:proofErr w:type="spellEnd"/>
            <w:r w:rsidR="00605A59" w:rsidRPr="002A05BA">
              <w:rPr>
                <w:rFonts w:ascii="Times New Roman" w:hAnsi="Times New Roman"/>
                <w:sz w:val="20"/>
                <w:szCs w:val="20"/>
              </w:rPr>
              <w:t>)</w:t>
            </w:r>
            <w:r w:rsidR="0055464C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8A5370F" w14:textId="77777777" w:rsidR="00F1705D" w:rsidRPr="002A05BA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253E33E9" w14:textId="77777777" w:rsidR="00F1705D" w:rsidRPr="002A05BA" w:rsidRDefault="00E87BE9" w:rsidP="003649D0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ind w:left="708"/>
              <w:jc w:val="both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 xml:space="preserve">b) </w:t>
            </w:r>
            <w:r w:rsidR="00605A59" w:rsidRPr="002A05BA">
              <w:rPr>
                <w:rFonts w:ascii="Times New Roman" w:hAnsi="Times New Roman"/>
                <w:sz w:val="20"/>
                <w:szCs w:val="20"/>
              </w:rPr>
              <w:t xml:space="preserve">rak piersi </w:t>
            </w:r>
            <w:r w:rsidRPr="002A05BA">
              <w:rPr>
                <w:rFonts w:ascii="Times New Roman" w:hAnsi="Times New Roman"/>
                <w:sz w:val="20"/>
                <w:szCs w:val="20"/>
              </w:rPr>
              <w:t xml:space="preserve">z udokumentowaną ekspresją </w:t>
            </w:r>
            <w:r w:rsidRPr="002A05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steroidowych receptorów hormonalnych</w:t>
            </w:r>
            <w:r w:rsidR="00F955D4" w:rsidRPr="002A05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5E5A35FA" w14:textId="77777777" w:rsidR="00F1705D" w:rsidRPr="002A05BA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 xml:space="preserve">- w </w:t>
            </w:r>
            <w:r w:rsidR="00605A59" w:rsidRPr="002A05BA">
              <w:rPr>
                <w:rFonts w:ascii="Times New Roman" w:hAnsi="Times New Roman"/>
                <w:sz w:val="20"/>
                <w:szCs w:val="20"/>
              </w:rPr>
              <w:t>przypadku chorych pierwotnie poddanych leczeniu operacyjnemu lub hormonoterapii</w:t>
            </w:r>
            <w:r w:rsidR="00F955D4" w:rsidRPr="002A05BA">
              <w:rPr>
                <w:rFonts w:ascii="Times New Roman" w:hAnsi="Times New Roman"/>
                <w:sz w:val="20"/>
                <w:szCs w:val="20"/>
              </w:rPr>
              <w:t xml:space="preserve"> przedoperacyjnej - </w:t>
            </w:r>
            <w:r w:rsidR="00F1112A" w:rsidRPr="002A05BA">
              <w:rPr>
                <w:rFonts w:ascii="Times New Roman" w:hAnsi="Times New Roman"/>
                <w:sz w:val="20"/>
                <w:szCs w:val="20"/>
              </w:rPr>
              <w:t>obecność choroby przerzutowej w węzłach chłonnych</w:t>
            </w:r>
            <w:r w:rsidR="0055464C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5D5AAD6" w14:textId="77777777" w:rsidR="00F1705D" w:rsidRPr="002A05BA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w przypadku chorych którzy otrzymali chemioterapię </w:t>
            </w:r>
            <w:proofErr w:type="spellStart"/>
            <w:r w:rsidRPr="002A05BA">
              <w:rPr>
                <w:rFonts w:ascii="Times New Roman" w:hAnsi="Times New Roman"/>
                <w:sz w:val="20"/>
                <w:szCs w:val="20"/>
              </w:rPr>
              <w:t>neoadjuwantową</w:t>
            </w:r>
            <w:proofErr w:type="spellEnd"/>
            <w:r w:rsidRPr="002A05BA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F955D4" w:rsidRPr="002A05BA">
              <w:rPr>
                <w:rFonts w:ascii="Times New Roman" w:hAnsi="Times New Roman"/>
                <w:sz w:val="20"/>
                <w:szCs w:val="20"/>
              </w:rPr>
              <w:t>nieuzyskanie całkowitej odpowiedzi potwierdzone w badaniu patomorfologicznym (non-</w:t>
            </w:r>
            <w:proofErr w:type="spellStart"/>
            <w:r w:rsidR="00F955D4" w:rsidRPr="002A05BA">
              <w:rPr>
                <w:rFonts w:ascii="Times New Roman" w:hAnsi="Times New Roman"/>
                <w:sz w:val="20"/>
                <w:szCs w:val="20"/>
              </w:rPr>
              <w:t>pCR</w:t>
            </w:r>
            <w:proofErr w:type="spellEnd"/>
            <w:r w:rsidR="00F955D4" w:rsidRPr="002A05BA">
              <w:rPr>
                <w:rFonts w:ascii="Times New Roman" w:hAnsi="Times New Roman"/>
                <w:sz w:val="20"/>
                <w:szCs w:val="20"/>
              </w:rPr>
              <w:t>)</w:t>
            </w:r>
            <w:r w:rsidR="0055464C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107A69D" w14:textId="77777777" w:rsidR="00406170" w:rsidRPr="002A05BA" w:rsidRDefault="00406170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adekwatna wydolność narządowa określona na podstawie wyników badań laboratoryjnych krwi zgodnie z zapisami Charakterystyki Produktu Leczniczego;</w:t>
            </w:r>
          </w:p>
          <w:p w14:paraId="0D8FAAD5" w14:textId="77777777" w:rsidR="00406170" w:rsidRPr="002A05BA" w:rsidRDefault="00406170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brak przeciwwskazań do stosowania olaparybu;</w:t>
            </w:r>
          </w:p>
          <w:p w14:paraId="5B996007" w14:textId="77777777" w:rsidR="00406170" w:rsidRPr="002A05BA" w:rsidRDefault="00406170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nieobecność istotnych klinicznie i niekontrolowanych stosowanym postępowaniem farmakologicznym chorób współistniejących stanowiących przeciwwskazanie do leczenia;</w:t>
            </w:r>
          </w:p>
          <w:p w14:paraId="2605E4A8" w14:textId="77777777" w:rsidR="00F1705D" w:rsidRPr="002A05BA" w:rsidRDefault="006E37A7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prawność w stopniu 0-1 według kryteriów </w:t>
            </w:r>
            <w:proofErr w:type="spellStart"/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>-WHO lub ECOG;</w:t>
            </w:r>
          </w:p>
          <w:p w14:paraId="4B21BB07" w14:textId="77777777" w:rsidR="00F1705D" w:rsidRPr="002A05BA" w:rsidRDefault="006E37A7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>ykluczenie ciąży i okresu karmienia piersią</w:t>
            </w:r>
            <w:r w:rsidR="00406170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810C5A5" w14:textId="77777777" w:rsidR="00F1705D" w:rsidRPr="002A05BA" w:rsidRDefault="006E37A7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 przypadku współistnienia innych aktywnych nowotworów kwalifikacja do leczenia musi uwzględniać rokowanie związane ze współistniejącym nowotworem.</w:t>
            </w:r>
          </w:p>
          <w:p w14:paraId="667B3D6E" w14:textId="77777777" w:rsidR="00F1705D" w:rsidRPr="002A05BA" w:rsidRDefault="00E87BE9" w:rsidP="003649D0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color w:val="000000"/>
                <w:sz w:val="20"/>
                <w:szCs w:val="20"/>
              </w:rPr>
              <w:t>Powyższe kryteria muszą być spełnione łącznie.</w:t>
            </w:r>
          </w:p>
          <w:p w14:paraId="20F093C8" w14:textId="77777777" w:rsidR="005C3002" w:rsidRPr="002A05BA" w:rsidRDefault="005C3002" w:rsidP="003649D0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48622BEF" w14:textId="77777777" w:rsidR="005C3002" w:rsidRPr="002A05BA" w:rsidRDefault="005C3002" w:rsidP="003649D0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Ponadto do programu lekowego w zakresie leczenia, wczesnego HER2-ujemnego raka piersi kwalifikowani są również pacjenci wymagający kontynuacji leczenia, którzy byli leczeni substancjami czynnymi finansowanymi w programie lekowym w ramach innego sposobu finansowania terapii, za wyjątkiem trwających badań klinicznych tych leków, pod warunkiem, że w chwili rozpoczęcia leczenia spełniali kryteria kwalifikacji do programu lekowego.</w:t>
            </w:r>
          </w:p>
          <w:p w14:paraId="793C4637" w14:textId="77777777" w:rsidR="00A13776" w:rsidRPr="002A05BA" w:rsidRDefault="00A13776" w:rsidP="00D92ACE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185E9662" w14:textId="77777777" w:rsidR="00F1705D" w:rsidRPr="002A05BA" w:rsidRDefault="005C3002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Leczenie </w:t>
            </w:r>
            <w:r w:rsidR="008A550E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okołooperacyjne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potrójnie ujemnego raka piersi w programie obejmuje:</w:t>
            </w:r>
          </w:p>
          <w:p w14:paraId="7FBBDE60" w14:textId="77777777" w:rsidR="00F1705D" w:rsidRPr="002A05BA" w:rsidRDefault="005C3002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 okołooperacyjne pembrolizumabem w skojarzeniu z chemioterapią jako leczenie przedoperacyjne (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) i kontynuacja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jako leczenie pooperacyjne (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) po zabiegu chirurgicznym u chorych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 potrójnie ujemnego raka piersi miejscowo zaawansowanego lub we wczesnym stadium z dużym ryzykiem nawrotu</w:t>
            </w:r>
            <w:r w:rsidR="0055464C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54F1297" w14:textId="77777777" w:rsidR="005C3002" w:rsidRPr="002A05BA" w:rsidRDefault="005C3002" w:rsidP="00D92ACE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8925AA" w14:textId="77777777" w:rsidR="005C3002" w:rsidRPr="002A05BA" w:rsidRDefault="005C30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 kwalifikacji do leczenia wczesnego, potrójnie ujemnego raka piersi:</w:t>
            </w:r>
          </w:p>
          <w:p w14:paraId="1976B96F" w14:textId="77777777" w:rsidR="00F1705D" w:rsidRPr="002A05BA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wiek 18 lat i powyżej;</w:t>
            </w:r>
          </w:p>
          <w:p w14:paraId="7AB4A685" w14:textId="77777777" w:rsidR="00F1705D" w:rsidRPr="002A05BA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potwierdzony i dotychczas nieleczony potrójnie ujemny rak piersi;</w:t>
            </w:r>
          </w:p>
          <w:p w14:paraId="7F653C4A" w14:textId="77777777" w:rsidR="00F1705D" w:rsidRPr="002A05BA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udokumentowany brak ekspresji steroidowych receptorów hormonalnych (&lt;1%); </w:t>
            </w:r>
          </w:p>
          <w:p w14:paraId="69C6EC60" w14:textId="77777777" w:rsidR="00F1705D" w:rsidRPr="002A05BA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udokumentowany brak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receptora HER2 w komórkach raka (wynik /0 lub 1+/ w badaniu IHC) lub brak amplifikacji genu HER2 (wynik /-/ w badaniu metodą hybrydyzacji in situ (ISH));</w:t>
            </w:r>
          </w:p>
          <w:p w14:paraId="0F6704B5" w14:textId="77777777" w:rsidR="00F1705D" w:rsidRPr="002A05BA" w:rsidRDefault="005C3002" w:rsidP="00FB6963">
            <w:pPr>
              <w:pStyle w:val="pf0"/>
              <w:numPr>
                <w:ilvl w:val="3"/>
                <w:numId w:val="31"/>
              </w:numPr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kliniczny stopień zaawansowania T1-4 i N1-N2 lub T2-T4 i N0</w:t>
            </w:r>
          </w:p>
          <w:p w14:paraId="7E2C4175" w14:textId="77777777" w:rsidR="00F1705D" w:rsidRPr="002A05BA" w:rsidRDefault="005C3002" w:rsidP="00FB6963">
            <w:pPr>
              <w:pStyle w:val="pf0"/>
              <w:numPr>
                <w:ilvl w:val="3"/>
                <w:numId w:val="31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wartość LVEF co najmniej 50%;</w:t>
            </w:r>
          </w:p>
          <w:p w14:paraId="02D81E11" w14:textId="77777777" w:rsidR="00F1705D" w:rsidRPr="002A05BA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adekwatna wydolność narządowa określona na podstawie wyników badań laboratoryjnych krwi zgodnie z zapisami Charakterystyki Produktu Leczniczego;</w:t>
            </w:r>
          </w:p>
          <w:p w14:paraId="38062FB1" w14:textId="77777777" w:rsidR="00F1705D" w:rsidRPr="002A05BA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wykluczenie ciąży i okresu karmienia piersią; </w:t>
            </w:r>
          </w:p>
          <w:p w14:paraId="60607803" w14:textId="77777777" w:rsidR="00F1705D" w:rsidRPr="002A05BA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sprawność w stopniu 0-1 według kryteriów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-WHO lub ECOG;</w:t>
            </w:r>
          </w:p>
          <w:p w14:paraId="6FE8EC58" w14:textId="77777777" w:rsidR="00F1705D" w:rsidRPr="002A05BA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brak przeciwwskazań do stosowania pembrolizumabu i chemioterapii;</w:t>
            </w:r>
          </w:p>
          <w:p w14:paraId="55BFE354" w14:textId="77777777" w:rsidR="00F1705D" w:rsidRPr="002A05BA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nieobecność istotnych klinicznie i niekontrolowanych stosowanym postępowaniem farmakologicznym chorób współistniejących stanowiących przeciwwskazanie do leczenia;</w:t>
            </w:r>
          </w:p>
          <w:p w14:paraId="3D80F4FE" w14:textId="77777777" w:rsidR="00F1705D" w:rsidRPr="002A05BA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nieobecność aktywnych chorób autoimmunologicznych z wyłączeniem cukrzycy typu 1, niedoczynności tarczycy w trakcie suplementacji hormonalnej, łuszczycy i bielactwa;</w:t>
            </w:r>
          </w:p>
          <w:p w14:paraId="17438832" w14:textId="77777777" w:rsidR="00F1705D" w:rsidRPr="002A05BA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 przypadku współistnienia innych aktywnych nowotworów kwalifikacja do leczenia musi uwzględniać rokowanie związane ze współistniejącym nowotworem.</w:t>
            </w:r>
          </w:p>
          <w:p w14:paraId="14CCAA6D" w14:textId="77777777" w:rsidR="005C3002" w:rsidRPr="002A05BA" w:rsidRDefault="005C30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Powyższe kryteria kwalifikacji muszą być spełnione łącznie.</w:t>
            </w:r>
          </w:p>
          <w:p w14:paraId="0AB2DD49" w14:textId="77777777" w:rsidR="005C3002" w:rsidRPr="002A05BA" w:rsidRDefault="005C30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DFEA27" w14:textId="77777777" w:rsidR="005C3002" w:rsidRPr="002A05BA" w:rsidRDefault="005C30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Ponadto do programu lekowego w zakresie leczenia okołooperacyjnego potrójnie ujemnego raka piersi kwalifikowani są również pacjenci wymagający kontynuacji leczenia, którzy byli leczeni substancjami czynnymi finansowanymi w programie lekowym w ramach innego sposobu finansowania terapii, za wyjątkiem trwających badań klinicznych tych leków, pod warunkiem, że w chwili rozpoczęcia leczenia spełniali kryteria kwalifikacji do programu lekowego.</w:t>
            </w:r>
          </w:p>
          <w:p w14:paraId="4B268939" w14:textId="77777777" w:rsidR="00E27F1D" w:rsidRPr="002A05BA" w:rsidRDefault="00E27F1D" w:rsidP="00D92ACE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206B2C3F" w14:textId="77777777" w:rsidR="00F1705D" w:rsidRPr="002A05BA" w:rsidRDefault="00E21754" w:rsidP="00FB6963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4A8D2CE0" w14:textId="77777777" w:rsidR="00F1705D" w:rsidRPr="002A05BA" w:rsidRDefault="00E21754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705EF6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45A7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45A7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45A7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obejmuje:</w:t>
            </w:r>
          </w:p>
          <w:p w14:paraId="24FF6BDD" w14:textId="77777777" w:rsidR="00F1705D" w:rsidRPr="002A05BA" w:rsidRDefault="00E27F1D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B5"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75D9B2A2" w14:textId="77777777" w:rsidR="00E21754" w:rsidRPr="002A05BA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BA6D747" w14:textId="77777777" w:rsidR="00F1705D" w:rsidRPr="002A05BA" w:rsidRDefault="00E27F1D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B5"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kolejne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0A9DA453" w14:textId="77777777" w:rsidR="00E21754" w:rsidRPr="002A05BA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CB5BC59" w14:textId="77777777" w:rsidR="00F1705D" w:rsidRPr="002A05BA" w:rsidRDefault="00E27F1D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43078503" w14:textId="77777777" w:rsidR="002A79D8" w:rsidRPr="002A05BA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286A666" w14:textId="77777777" w:rsidR="00F1705D" w:rsidRPr="002A05BA" w:rsidRDefault="00E27F1D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(II,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52AA5685" w14:textId="77777777" w:rsidR="00F1705D" w:rsidRPr="002A05BA" w:rsidRDefault="0063355B" w:rsidP="00FB696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BC60062" w14:textId="77777777" w:rsidR="00F1705D" w:rsidRPr="002A05BA" w:rsidRDefault="00AB2520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leczenie przerzutowego raka piersi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derukstekanem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(II lub III lub IV lini</w:t>
            </w:r>
            <w:r w:rsidR="00C46298"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leczenia anty-HER2 przerzutowego raka piersi)</w:t>
            </w:r>
            <w:r w:rsidR="00A13776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609A82A" w14:textId="77777777" w:rsidR="00471D46" w:rsidRPr="002A05BA" w:rsidRDefault="00471D46" w:rsidP="00D92ACE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8510C6" w14:textId="77777777" w:rsidR="00E21754" w:rsidRPr="002A05BA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E039C5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="006545A7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6545A7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6545A7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6545A7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HER2-dodatniego</w:t>
            </w:r>
            <w:r w:rsidR="00EA5ADE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1AE15AA4" w14:textId="77777777" w:rsidR="00F1705D" w:rsidRPr="002A05BA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inwazyjny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piersi:</w:t>
            </w:r>
          </w:p>
          <w:p w14:paraId="525F0FD5" w14:textId="77777777" w:rsidR="00F1705D" w:rsidRPr="002A05BA" w:rsidRDefault="00E21754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uogólniony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55464C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3EF3872" w14:textId="77777777" w:rsidR="00E21754" w:rsidRPr="002A05BA" w:rsidRDefault="00E21754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B552DA1" w14:textId="77777777" w:rsidR="00F1705D" w:rsidRPr="002A05BA" w:rsidRDefault="00E21754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nawrotowy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0F0" w:rsidRPr="002A05BA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trwale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zaawansowania);</w:t>
            </w:r>
          </w:p>
          <w:p w14:paraId="7DC44683" w14:textId="77777777" w:rsidR="00F1705D" w:rsidRPr="002A05BA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nadekspresja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(wynik/3+/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ISH);</w:t>
            </w:r>
          </w:p>
          <w:p w14:paraId="6DD2054D" w14:textId="77777777" w:rsidR="00F1705D" w:rsidRPr="002A05BA" w:rsidRDefault="00D96DEC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nowotworowych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2D22429A" w14:textId="77777777" w:rsidR="00F1705D" w:rsidRPr="002A05BA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0-</w:t>
            </w:r>
            <w:r w:rsidR="00231D81" w:rsidRPr="002A0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454FBC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661C984" w14:textId="77777777" w:rsidR="00F1705D" w:rsidRPr="002A05BA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73A19" w:rsidRPr="002A05BA">
              <w:rPr>
                <w:rFonts w:ascii="Times New Roman" w:hAnsi="Times New Roman" w:cs="Times New Roman"/>
                <w:sz w:val="20"/>
                <w:szCs w:val="20"/>
              </w:rPr>
              <w:t>artość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2A05BA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2A05B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2A05BA">
              <w:rPr>
                <w:rFonts w:ascii="Times New Roman" w:hAnsi="Times New Roman" w:cs="Times New Roman"/>
                <w:sz w:val="20"/>
                <w:szCs w:val="20"/>
              </w:rPr>
              <w:t>50%;</w:t>
            </w:r>
          </w:p>
          <w:p w14:paraId="407C8FF0" w14:textId="77777777" w:rsidR="00F1705D" w:rsidRPr="002A05BA" w:rsidRDefault="0067364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05AAD2DE" w14:textId="77777777" w:rsidR="00F1705D" w:rsidRPr="002A05BA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3648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2A05BA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2A05BA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2A05BA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68389D" w14:textId="77777777" w:rsidR="00F1705D" w:rsidRPr="002A05BA" w:rsidRDefault="002A79D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nowotworem.</w:t>
            </w:r>
          </w:p>
          <w:p w14:paraId="0A5087BA" w14:textId="77777777" w:rsidR="00E21754" w:rsidRPr="002A05BA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2A05B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4E738FE2" w14:textId="77777777" w:rsidR="00705EF6" w:rsidRPr="002A05BA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63BC79" w14:textId="77777777" w:rsidR="004D1FAC" w:rsidRPr="002A05BA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leków,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074252F7" w14:textId="77777777" w:rsidR="00555F20" w:rsidRPr="002A05BA" w:rsidRDefault="00555F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757B84" w14:textId="77777777" w:rsidR="00F1705D" w:rsidRPr="002A05BA" w:rsidRDefault="00A900FD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705EF6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HER2-ujemnego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D0E52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D0E52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D0E52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</w:t>
            </w:r>
            <w:r w:rsidR="00267CCC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341029C1" w14:textId="77777777" w:rsidR="00F1705D" w:rsidRPr="002A05BA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palbocyk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lib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6B1EB0CB" w14:textId="77777777" w:rsidR="00A900FD" w:rsidRPr="002A05BA" w:rsidRDefault="00D451F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3715A3A" w14:textId="77777777" w:rsidR="00F1705D" w:rsidRPr="002A05BA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inh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ibitorami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palbocyklibem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2A05BA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2A05BA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rybocyk</w:t>
            </w:r>
            <w:r w:rsidR="00246110"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ibu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E9F2DEC" w14:textId="77777777" w:rsidR="00582275" w:rsidRPr="002A05BA" w:rsidRDefault="00582275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BB1A22F" w14:textId="77777777" w:rsidR="00F1705D" w:rsidRPr="002A05BA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hormonowrażliwego</w:t>
            </w:r>
            <w:proofErr w:type="spellEnd"/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FA2F38"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28A7AAD6" w14:textId="77777777" w:rsidR="00582275" w:rsidRPr="002A05BA" w:rsidRDefault="00582275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3518B57" w14:textId="77777777" w:rsidR="00F1705D" w:rsidRPr="002A05BA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PARP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(talazoparybem</w:t>
            </w:r>
            <w:r w:rsidR="00AC1AF3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albo olaparybem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8160F" w:rsidRPr="002A05BA">
              <w:rPr>
                <w:rFonts w:ascii="Times New Roman" w:hAnsi="Times New Roman" w:cs="Times New Roman"/>
                <w:sz w:val="20"/>
                <w:szCs w:val="20"/>
              </w:rPr>
              <w:t>germinalnych</w:t>
            </w:r>
            <w:proofErr w:type="spellEnd"/>
            <w:r w:rsidR="0098160F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BRCA1/2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(II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hormonozależnego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  <w:r w:rsidR="00454FBC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A5B59E8" w14:textId="77777777" w:rsidR="00C62C88" w:rsidRPr="002A05BA" w:rsidRDefault="00C62C88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lekowej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CDK4/6.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D94CFD5" w14:textId="77777777" w:rsidR="00A900FD" w:rsidRPr="002A05BA" w:rsidRDefault="00A900FD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F5DAD9" w14:textId="77777777" w:rsidR="00A900FD" w:rsidRPr="002A05BA" w:rsidRDefault="000D0E5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4A4ED6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="00405EB8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HER2-ujemnego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piersi:</w:t>
            </w:r>
          </w:p>
          <w:p w14:paraId="12D980B7" w14:textId="77777777" w:rsidR="00F1705D" w:rsidRPr="002A05BA" w:rsidRDefault="008A17EC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CF0C0F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D2BA3B4" w14:textId="77777777" w:rsidR="00F1705D" w:rsidRPr="002A05BA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F0C0F" w:rsidRPr="002A05BA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2A05BA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2A05BA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2A05BA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2A05BA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2A05BA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EA5ADE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E340535" w14:textId="77777777" w:rsidR="00F1705D" w:rsidRPr="002A05BA" w:rsidRDefault="006F4868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</w:p>
          <w:p w14:paraId="3CB8B3C5" w14:textId="77777777" w:rsidR="006F4868" w:rsidRPr="002A05BA" w:rsidRDefault="006F4868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4D56D87" w14:textId="77777777" w:rsidR="00F1705D" w:rsidRPr="002A05BA" w:rsidRDefault="006F4868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zaawansowany,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A552E0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D7892A" w14:textId="77777777" w:rsidR="00F1705D" w:rsidRPr="002A05BA" w:rsidRDefault="006F486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steroidowych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hormonalnych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1%;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9B60825" w14:textId="77777777" w:rsidR="00F1705D" w:rsidRPr="002A05BA" w:rsidRDefault="008B04DB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525490"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dokumentowany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1+/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amplifikacji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/-/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ISH));</w:t>
            </w:r>
          </w:p>
          <w:p w14:paraId="77633EE4" w14:textId="77777777" w:rsidR="00F1705D" w:rsidRPr="002A05BA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5A45CB" w:rsidRPr="002A05BA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A05BA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A05BA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A05BA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A05BA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A05BA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A45CB" w:rsidRPr="002A05BA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="00A7032E" w:rsidRPr="002A05B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07B77" w:rsidRPr="002A05BA">
              <w:rPr>
                <w:rFonts w:ascii="Times New Roman" w:hAnsi="Times New Roman" w:cs="Times New Roman"/>
                <w:sz w:val="20"/>
                <w:szCs w:val="20"/>
              </w:rPr>
              <w:t>elisybu</w:t>
            </w:r>
            <w:proofErr w:type="spellEnd"/>
            <w:r w:rsidR="005A45CB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570ADA9" w14:textId="77777777" w:rsidR="00F1705D" w:rsidRPr="002A05BA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prawdopodobnie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BRCA1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BRCA2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98160F" w:rsidRPr="002A05BA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proofErr w:type="spellEnd"/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proofErr w:type="spellEnd"/>
            <w:r w:rsidR="00A13776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proofErr w:type="spellStart"/>
            <w:r w:rsidR="00A13776" w:rsidRPr="002A05BA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="00A31A36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EC2F78C" w14:textId="77777777" w:rsidR="00F1705D" w:rsidRPr="002A05BA" w:rsidRDefault="00585E1C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nowotworowych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589F96D1" w14:textId="77777777" w:rsidR="00F1705D" w:rsidRPr="002A05BA" w:rsidRDefault="00525490" w:rsidP="00FB6963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567C1" w:rsidRPr="002A05BA">
              <w:rPr>
                <w:rFonts w:ascii="Times New Roman" w:hAnsi="Times New Roman" w:cs="Times New Roman"/>
                <w:sz w:val="20"/>
                <w:szCs w:val="20"/>
              </w:rPr>
              <w:t>tan: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D69AB69" w14:textId="77777777" w:rsidR="00F1705D" w:rsidRPr="002A05BA" w:rsidRDefault="00D567C1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pomenopauzalny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zdefiniowany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wyboru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opcji):</w:t>
            </w:r>
          </w:p>
          <w:p w14:paraId="59E1D307" w14:textId="77777777" w:rsidR="00F1705D" w:rsidRPr="002A05BA" w:rsidRDefault="00D567C1" w:rsidP="00FB6963">
            <w:pPr>
              <w:pStyle w:val="Akapitzlist"/>
              <w:numPr>
                <w:ilvl w:val="5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obustronnym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usunięciu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jajników</w:t>
            </w:r>
            <w:r w:rsidR="00525490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769A55C" w14:textId="77777777" w:rsidR="00F1705D" w:rsidRPr="002A05BA" w:rsidRDefault="00D567C1" w:rsidP="00FB6963">
            <w:pPr>
              <w:pStyle w:val="Akapitzlist"/>
              <w:numPr>
                <w:ilvl w:val="5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ostatnie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m-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(bez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przyczyn)</w:t>
            </w:r>
            <w:r w:rsidR="00525490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AF990E4" w14:textId="77777777" w:rsidR="00F1705D" w:rsidRPr="002A05BA" w:rsidRDefault="00D567C1" w:rsidP="00FB6963">
            <w:pPr>
              <w:pStyle w:val="Akapitzlist"/>
              <w:numPr>
                <w:ilvl w:val="5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spełniający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powyższych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wymogów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pomenopauzalne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LH,</w:t>
            </w:r>
          </w:p>
          <w:p w14:paraId="133845D6" w14:textId="77777777" w:rsidR="00F1705D" w:rsidRPr="002A05BA" w:rsidRDefault="00D567C1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przed-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okołomenopauzalny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wszystkie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spełniające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pomenopauzalnego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ADE"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7D210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takim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hormonoterapię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skojarzyć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agonistą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uwalniającego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luteinizujący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(LHRH)</w:t>
            </w:r>
            <w:r w:rsidR="00EA5ADE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13776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0DBCF66" w14:textId="77777777" w:rsidR="00CC0768" w:rsidRPr="002A05BA" w:rsidRDefault="00A40D9B" w:rsidP="00D92ACE">
            <w:pPr>
              <w:pStyle w:val="TableParagraph"/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A05BA">
              <w:rPr>
                <w:rFonts w:eastAsiaTheme="minorHAnsi"/>
                <w:sz w:val="20"/>
                <w:szCs w:val="20"/>
                <w:lang w:val="pl-PL"/>
              </w:rPr>
              <w:t>Kryterium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bookmarkStart w:id="0" w:name="_Hlk116386478"/>
            <w:r w:rsidRPr="002A05BA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525490" w:rsidRPr="002A05BA">
              <w:rPr>
                <w:rFonts w:eastAsiaTheme="minorHAnsi"/>
                <w:sz w:val="20"/>
                <w:szCs w:val="20"/>
                <w:lang w:val="pl-PL"/>
              </w:rPr>
              <w:t>i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nhibitorów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CDK4/6</w:t>
            </w:r>
            <w:bookmarkEnd w:id="0"/>
            <w:r w:rsidR="00A13776" w:rsidRPr="002A05BA">
              <w:rPr>
                <w:rFonts w:eastAsiaTheme="minorHAnsi"/>
                <w:sz w:val="20"/>
                <w:szCs w:val="20"/>
                <w:lang w:val="pl-PL"/>
              </w:rPr>
              <w:t>;</w:t>
            </w:r>
          </w:p>
          <w:p w14:paraId="3BB05FC9" w14:textId="77777777" w:rsidR="00F1705D" w:rsidRPr="002A05BA" w:rsidRDefault="00525490" w:rsidP="00FB6963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16386636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CC0768" w:rsidRPr="002A05BA">
              <w:rPr>
                <w:rFonts w:ascii="Times New Roman" w:hAnsi="Times New Roman" w:cs="Times New Roman"/>
                <w:sz w:val="20"/>
                <w:szCs w:val="20"/>
              </w:rPr>
              <w:t>obiety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A05BA">
              <w:rPr>
                <w:rFonts w:ascii="Times New Roman" w:hAnsi="Times New Roman" w:cs="Times New Roman"/>
                <w:sz w:val="20"/>
                <w:szCs w:val="20"/>
              </w:rPr>
              <w:t>stanie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C0768" w:rsidRPr="002A05BA">
              <w:rPr>
                <w:rFonts w:ascii="Times New Roman" w:hAnsi="Times New Roman" w:cs="Times New Roman"/>
                <w:sz w:val="20"/>
                <w:szCs w:val="20"/>
              </w:rPr>
              <w:t>pomenopauzalnym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A05BA">
              <w:rPr>
                <w:rFonts w:ascii="Times New Roman" w:hAnsi="Times New Roman" w:cs="Times New Roman"/>
                <w:sz w:val="20"/>
                <w:szCs w:val="20"/>
              </w:rPr>
              <w:t>zdefiniowanym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A05BA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A05BA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A05BA">
              <w:rPr>
                <w:rFonts w:ascii="Times New Roman" w:hAnsi="Times New Roman" w:cs="Times New Roman"/>
                <w:sz w:val="20"/>
                <w:szCs w:val="20"/>
              </w:rPr>
              <w:t>wyboru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A05BA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A05BA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A05BA">
              <w:rPr>
                <w:rFonts w:ascii="Times New Roman" w:hAnsi="Times New Roman" w:cs="Times New Roman"/>
                <w:sz w:val="20"/>
                <w:szCs w:val="20"/>
              </w:rPr>
              <w:t>opcji):</w:t>
            </w:r>
          </w:p>
          <w:p w14:paraId="785772DD" w14:textId="77777777" w:rsidR="00F1705D" w:rsidRPr="002A05BA" w:rsidRDefault="00CC0768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obustronnym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usunięciu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jajników</w:t>
            </w:r>
            <w:r w:rsidR="00525490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DDE881D" w14:textId="77777777" w:rsidR="00F1705D" w:rsidRPr="002A05BA" w:rsidRDefault="00CC0768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ostatnie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m-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(bez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przyczyn)</w:t>
            </w:r>
            <w:r w:rsidR="00525490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D1895E0" w14:textId="77777777" w:rsidR="00F1705D" w:rsidRPr="002A05BA" w:rsidRDefault="00CC0768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spełniający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powyższych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wymogów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pomenopauzalne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LH,</w:t>
            </w:r>
          </w:p>
          <w:p w14:paraId="633AAE4E" w14:textId="77777777" w:rsidR="00B16CE2" w:rsidRPr="002A05BA" w:rsidRDefault="00CC0768" w:rsidP="00D92AC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mężczyźni</w:t>
            </w:r>
            <w:r w:rsidR="00A13776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D3DD0F5" w14:textId="77777777" w:rsidR="00A40D9B" w:rsidRPr="002A05BA" w:rsidRDefault="00B16CE2" w:rsidP="00D92ACE">
            <w:pPr>
              <w:pStyle w:val="TableParagraph"/>
              <w:tabs>
                <w:tab w:val="left" w:pos="622"/>
                <w:tab w:val="left" w:pos="623"/>
              </w:tabs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A05BA">
              <w:rPr>
                <w:rFonts w:eastAsiaTheme="minorHAnsi"/>
                <w:sz w:val="20"/>
                <w:szCs w:val="20"/>
                <w:lang w:val="pl-PL"/>
              </w:rPr>
              <w:t>K</w:t>
            </w:r>
            <w:r w:rsidR="00CC0768" w:rsidRPr="002A05BA">
              <w:rPr>
                <w:rFonts w:eastAsiaTheme="minorHAnsi"/>
                <w:sz w:val="20"/>
                <w:szCs w:val="20"/>
                <w:lang w:val="pl-PL"/>
              </w:rPr>
              <w:t>ryterium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2A05BA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2A05BA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2A05BA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2A05BA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2A05BA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CC0768" w:rsidRPr="002A05BA">
              <w:rPr>
                <w:rFonts w:eastAsiaTheme="minorHAnsi"/>
                <w:sz w:val="20"/>
                <w:szCs w:val="20"/>
                <w:lang w:val="pl-PL"/>
              </w:rPr>
              <w:t>alpelisybu</w:t>
            </w:r>
            <w:proofErr w:type="spellEnd"/>
            <w:r w:rsidR="00A13776" w:rsidRPr="002A05BA">
              <w:rPr>
                <w:rFonts w:eastAsiaTheme="minorHAnsi"/>
                <w:sz w:val="20"/>
                <w:szCs w:val="20"/>
                <w:lang w:val="pl-PL"/>
              </w:rPr>
              <w:t>;</w:t>
            </w:r>
          </w:p>
          <w:bookmarkEnd w:id="1"/>
          <w:p w14:paraId="2786330D" w14:textId="77777777" w:rsidR="00F1705D" w:rsidRPr="002A05BA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</w:t>
            </w:r>
            <w:r w:rsidR="00902BD7" w:rsidRPr="002A05BA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2A05BA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2A05BA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2A05B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2A05BA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EA5ADE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26150B6" w14:textId="77777777" w:rsidR="00F1705D" w:rsidRPr="002A05BA" w:rsidRDefault="00843101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A5ADE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A6251E6" w14:textId="77777777" w:rsidR="00F1705D" w:rsidRPr="002A05BA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skojarzenia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EA5ADE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udokumentowanego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rzeczywistego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zagrożenia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niewydolności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miąższowych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następstwie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przerzutów)</w:t>
            </w:r>
            <w:r w:rsidR="00A13776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8ECC118" w14:textId="77777777" w:rsidR="00B21EAF" w:rsidRPr="002A05BA" w:rsidRDefault="00EA5ADE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opuszczalne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przedoperacyjne/uzupełniające:</w:t>
            </w:r>
          </w:p>
          <w:p w14:paraId="6DB875B4" w14:textId="77777777" w:rsidR="00F1705D" w:rsidRPr="002A05BA" w:rsidRDefault="00B21EAF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8887F3D" w14:textId="77777777" w:rsidR="00B21EAF" w:rsidRPr="002A05BA" w:rsidRDefault="00B21EAF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78622F3" w14:textId="77777777" w:rsidR="00F1705D" w:rsidRPr="002A05BA" w:rsidRDefault="00B21EAF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tamoksyfenem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(także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hormonoterapii)</w:t>
            </w:r>
            <w:r w:rsidR="00EA5ADE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FF78B4F" w14:textId="77777777" w:rsidR="00E7150D" w:rsidRPr="002A05BA" w:rsidRDefault="00E7150D" w:rsidP="00D92ACE">
            <w:pPr>
              <w:pStyle w:val="TableParagraph"/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A05BA">
              <w:rPr>
                <w:rFonts w:eastAsiaTheme="minorHAnsi"/>
                <w:sz w:val="20"/>
                <w:szCs w:val="20"/>
                <w:lang w:val="pl-PL"/>
              </w:rPr>
              <w:t>Kryterium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inhibitorów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CDK4/6</w:t>
            </w:r>
            <w:r w:rsidR="00A13776" w:rsidRPr="002A05BA">
              <w:rPr>
                <w:rFonts w:eastAsiaTheme="minorHAnsi"/>
                <w:sz w:val="20"/>
                <w:szCs w:val="20"/>
                <w:lang w:val="pl-PL"/>
              </w:rPr>
              <w:t>;</w:t>
            </w:r>
          </w:p>
          <w:p w14:paraId="16A83709" w14:textId="77777777" w:rsidR="00F1705D" w:rsidRPr="002A05BA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skojarzenia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4F7967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E5405DF" w14:textId="77777777" w:rsidR="00F1705D" w:rsidRPr="002A05BA" w:rsidRDefault="00C0353C" w:rsidP="00FB6963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60F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8721F4C" w14:textId="77777777" w:rsidR="00C0353C" w:rsidRPr="002A05BA" w:rsidRDefault="00C0353C" w:rsidP="00D92AC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D274D93" w14:textId="77777777" w:rsidR="00F1705D" w:rsidRPr="002A05BA" w:rsidRDefault="00C0353C" w:rsidP="00FB6963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uzupełniającej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7D7C544" w14:textId="77777777" w:rsidR="00C0353C" w:rsidRPr="002A05BA" w:rsidRDefault="00C0353C" w:rsidP="00D92AC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BB77267" w14:textId="77777777" w:rsidR="00F1705D" w:rsidRPr="002A05BA" w:rsidRDefault="00C0353C" w:rsidP="00FB6963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rzutu.</w:t>
            </w:r>
          </w:p>
          <w:p w14:paraId="47ACDC2B" w14:textId="77777777" w:rsidR="0072614E" w:rsidRPr="002A05BA" w:rsidRDefault="00C0353C" w:rsidP="00D92AC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Dopuszczalne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uprzednie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(przed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rzutu)</w:t>
            </w:r>
            <w:r w:rsidR="0072614E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D87361C" w14:textId="77777777" w:rsidR="0072614E" w:rsidRPr="002A05BA" w:rsidRDefault="0072614E" w:rsidP="00D92ACE">
            <w:pPr>
              <w:pStyle w:val="TableParagraph"/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A05BA">
              <w:rPr>
                <w:rFonts w:eastAsiaTheme="minorHAnsi"/>
                <w:sz w:val="20"/>
                <w:szCs w:val="20"/>
                <w:lang w:val="pl-PL"/>
              </w:rPr>
              <w:lastRenderedPageBreak/>
              <w:t>Kryterium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inhibitorów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CDK4/6</w:t>
            </w:r>
            <w:r w:rsidR="00A13776" w:rsidRPr="002A05BA">
              <w:rPr>
                <w:rFonts w:eastAsiaTheme="minorHAnsi"/>
                <w:sz w:val="20"/>
                <w:szCs w:val="20"/>
                <w:lang w:val="pl-PL"/>
              </w:rPr>
              <w:t>;</w:t>
            </w:r>
          </w:p>
          <w:p w14:paraId="5733BDDE" w14:textId="77777777" w:rsidR="00F1705D" w:rsidRPr="002A05BA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3AB8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F2763F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07C47D" w14:textId="77777777" w:rsidR="00F1705D" w:rsidRPr="002A05BA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F8208B" w:rsidRPr="002A05BA">
              <w:rPr>
                <w:rFonts w:ascii="Times New Roman" w:hAnsi="Times New Roman" w:cs="Times New Roman"/>
                <w:sz w:val="20"/>
                <w:szCs w:val="20"/>
              </w:rPr>
              <w:t>ieo</w:t>
            </w:r>
            <w:r w:rsidR="00A75FB2" w:rsidRPr="002A05BA">
              <w:rPr>
                <w:rFonts w:ascii="Times New Roman" w:hAnsi="Times New Roman" w:cs="Times New Roman"/>
                <w:sz w:val="20"/>
                <w:szCs w:val="20"/>
              </w:rPr>
              <w:t>becność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A05BA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A05BA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A05BA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A05BA">
              <w:rPr>
                <w:rFonts w:ascii="Times New Roman" w:hAnsi="Times New Roman" w:cs="Times New Roman"/>
                <w:sz w:val="20"/>
                <w:szCs w:val="20"/>
              </w:rPr>
              <w:t>trzewnych,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A05BA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A05BA">
              <w:rPr>
                <w:rFonts w:ascii="Times New Roman" w:hAnsi="Times New Roman" w:cs="Times New Roman"/>
                <w:sz w:val="20"/>
                <w:szCs w:val="20"/>
              </w:rPr>
              <w:t>bezpośrednie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A05BA">
              <w:rPr>
                <w:rFonts w:ascii="Times New Roman" w:hAnsi="Times New Roman" w:cs="Times New Roman"/>
                <w:sz w:val="20"/>
                <w:szCs w:val="20"/>
              </w:rPr>
              <w:t>zagrożenie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A05BA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0009DD42" w14:textId="77777777" w:rsidR="00F1705D" w:rsidRPr="002A05BA" w:rsidRDefault="00585E1C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objawowych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cech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miejscowym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radioterapia);</w:t>
            </w:r>
          </w:p>
          <w:p w14:paraId="1579EB8B" w14:textId="77777777" w:rsidR="00F1705D" w:rsidRPr="002A05BA" w:rsidRDefault="002A79D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nowotworem.</w:t>
            </w:r>
          </w:p>
          <w:p w14:paraId="014E00AE" w14:textId="77777777" w:rsidR="004343AD" w:rsidRPr="002A05BA" w:rsidRDefault="004343AD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613" w:rsidRPr="002A05B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87CB16D" w14:textId="77777777" w:rsidR="00EA5ADE" w:rsidRPr="002A05BA" w:rsidRDefault="00EA5ADE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AF7C4E" w14:textId="77777777" w:rsidR="004D1FAC" w:rsidRPr="002A05BA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5EB8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HER2-</w:t>
            </w:r>
            <w:r w:rsidR="00405EB8"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leków,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3140AA12" w14:textId="77777777" w:rsidR="004343AD" w:rsidRPr="002A05BA" w:rsidRDefault="004343AD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C93BB9" w14:textId="77777777" w:rsidR="004343AD" w:rsidRPr="002A05BA" w:rsidRDefault="004343AD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pacjentek,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rozpoczęły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monoterapię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hormonalnego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01.09.2020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r.,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choroby,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będzie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palbocyklibem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rybocyklibem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B04F11C" w14:textId="77777777" w:rsidR="00E7571F" w:rsidRPr="002A05BA" w:rsidRDefault="00E7571F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A2B543" w14:textId="77777777" w:rsidR="00F1705D" w:rsidRPr="002A05BA" w:rsidRDefault="00BA12FD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7613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7613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7613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obejmuje:</w:t>
            </w:r>
          </w:p>
          <w:p w14:paraId="08108902" w14:textId="77777777" w:rsidR="00F1705D" w:rsidRPr="002A05BA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nieoperacyjnego,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nawrotowego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ekspresją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gemcytabiną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karboplatyną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TNBC)</w:t>
            </w:r>
          </w:p>
          <w:p w14:paraId="7D64D802" w14:textId="77777777" w:rsidR="00D43870" w:rsidRPr="002A05BA" w:rsidRDefault="00D4387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albo</w:t>
            </w:r>
          </w:p>
          <w:p w14:paraId="20BFAD1B" w14:textId="77777777" w:rsidR="00F1705D" w:rsidRPr="002A05BA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57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550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albo olaparybem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8160F" w:rsidRPr="002A05BA">
              <w:rPr>
                <w:rFonts w:ascii="Times New Roman" w:hAnsi="Times New Roman" w:cs="Times New Roman"/>
                <w:sz w:val="20"/>
                <w:szCs w:val="20"/>
              </w:rPr>
              <w:t>germinalnych</w:t>
            </w:r>
            <w:proofErr w:type="spellEnd"/>
            <w:r w:rsidR="0098160F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BRCA1/2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3776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linia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TNBC)</w:t>
            </w:r>
          </w:p>
          <w:p w14:paraId="74609955" w14:textId="77777777" w:rsidR="00D43870" w:rsidRPr="002A05BA" w:rsidRDefault="00D4387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8E73862" w14:textId="77777777" w:rsidR="00F1705D" w:rsidRPr="002A05BA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57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gowitekanem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(II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TNBC).</w:t>
            </w:r>
          </w:p>
          <w:p w14:paraId="196ACDAA" w14:textId="77777777" w:rsidR="00D43870" w:rsidRPr="002A05BA" w:rsidRDefault="00D4387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609FDE" w14:textId="77777777" w:rsidR="00D43870" w:rsidRPr="002A05BA" w:rsidRDefault="00D4387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AD5F6A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</w:t>
            </w:r>
            <w:r w:rsidR="00EA5ADE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62E1C876" w14:textId="77777777" w:rsidR="00F1705D" w:rsidRPr="002A05BA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powyżej;</w:t>
            </w:r>
          </w:p>
          <w:p w14:paraId="0AD43548" w14:textId="77777777" w:rsidR="00F1705D" w:rsidRPr="002A05BA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EA5ADE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A0CB98A" w14:textId="77777777" w:rsidR="00F1705D" w:rsidRPr="002A05BA" w:rsidRDefault="00D43870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536A752" w14:textId="77777777" w:rsidR="00D43870" w:rsidRPr="002A05BA" w:rsidRDefault="00D43870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CBDB381" w14:textId="77777777" w:rsidR="00F1705D" w:rsidRPr="002A05BA" w:rsidRDefault="00D43870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zaawansowany,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zaawansowania);</w:t>
            </w:r>
          </w:p>
          <w:p w14:paraId="549C36FA" w14:textId="77777777" w:rsidR="00F1705D" w:rsidRPr="002A05BA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ujemny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07F5E9DE" w14:textId="77777777" w:rsidR="00F1705D" w:rsidRPr="002A05BA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steroidowych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hormonalnych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1%;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019A359" w14:textId="77777777" w:rsidR="00F1705D" w:rsidRPr="002A05BA" w:rsidRDefault="008B04DB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1+/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amplifikacji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/-/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(ISH));</w:t>
            </w:r>
          </w:p>
          <w:p w14:paraId="729C3B8F" w14:textId="77777777" w:rsidR="00F1705D" w:rsidRPr="002A05BA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prawdopodobnie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BRCA1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BRCA2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98160F" w:rsidRPr="002A05BA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proofErr w:type="spellEnd"/>
            <w:r w:rsidR="008A550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3776"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A550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A550E" w:rsidRPr="002A05BA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EA5DFEC" w14:textId="77777777" w:rsidR="00F1705D" w:rsidRPr="002A05BA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potwierdzona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CPS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combined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positive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score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oznaczona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zwalidowanym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testem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EA5ADE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C8C5BD7" w14:textId="77777777" w:rsidR="00F1705D" w:rsidRPr="002A05BA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możliwa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nowotworowych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5FAC31BA" w14:textId="77777777" w:rsidR="00F1705D" w:rsidRPr="002A05BA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sprawność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ECOG;</w:t>
            </w:r>
          </w:p>
          <w:p w14:paraId="6BFC98B1" w14:textId="77777777" w:rsidR="00F1705D" w:rsidRPr="002A05BA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547A9C43" w14:textId="77777777" w:rsidR="00F1705D" w:rsidRPr="002A05BA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trzewnych,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bezpośrednie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zagrożenie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7EC987C9" w14:textId="77777777" w:rsidR="00F1705D" w:rsidRPr="002A05BA" w:rsidRDefault="00CE3409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46B14DF" w14:textId="77777777" w:rsidR="00F1705D" w:rsidRPr="002A05BA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objawowych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cech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miejscowym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radioterapia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); adekwatna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umożliwiająca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bezpieczne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rozpoczęcie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terapii;</w:t>
            </w:r>
          </w:p>
          <w:p w14:paraId="6B0C6362" w14:textId="77777777" w:rsidR="00F1705D" w:rsidRPr="002A05BA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nowotworem.</w:t>
            </w:r>
          </w:p>
          <w:p w14:paraId="554DA587" w14:textId="77777777" w:rsidR="00D43870" w:rsidRPr="002A05BA" w:rsidRDefault="00D43870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613" w:rsidRPr="002A05B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ED420DC" w14:textId="77777777" w:rsidR="00D43870" w:rsidRPr="002A05BA" w:rsidRDefault="00D43870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FD5237" w14:textId="77777777" w:rsidR="00846E4C" w:rsidRPr="002A05BA" w:rsidRDefault="00D43870" w:rsidP="003649D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leków,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7347EDF4" w14:textId="77777777" w:rsidR="00850023" w:rsidRPr="002A05BA" w:rsidRDefault="00850023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80B203" w14:textId="77777777" w:rsidR="00F1705D" w:rsidRPr="002A05BA" w:rsidRDefault="0081296A" w:rsidP="00FB6963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4939E70B" w14:textId="77777777" w:rsidR="00F1705D" w:rsidRPr="002A05BA" w:rsidRDefault="00C463BB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4D61758D" w14:textId="77777777" w:rsidR="00F1705D" w:rsidRPr="002A05BA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ogorszenie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21E0C" w:rsidRPr="002A05BA">
              <w:rPr>
                <w:rFonts w:ascii="Times New Roman" w:hAnsi="Times New Roman" w:cs="Times New Roman"/>
                <w:sz w:val="20"/>
                <w:szCs w:val="20"/>
              </w:rPr>
              <w:t>stotne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2A05BA">
              <w:rPr>
                <w:rFonts w:ascii="Times New Roman" w:hAnsi="Times New Roman" w:cs="Times New Roman"/>
                <w:sz w:val="20"/>
                <w:szCs w:val="20"/>
              </w:rPr>
              <w:t>klinicznie)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2A05BA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2A05BA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nowotworem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potwierdzonej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przedmiotowym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obrazowym;</w:t>
            </w:r>
          </w:p>
          <w:p w14:paraId="2EE772EC" w14:textId="77777777" w:rsidR="00F1705D" w:rsidRPr="002A05BA" w:rsidRDefault="00285486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wymagającej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ChP</w:t>
            </w:r>
            <w:r w:rsidR="006B72BD"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802CCA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0309344" w14:textId="77777777" w:rsidR="00F1705D" w:rsidRPr="002A05BA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bniżenie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sprawności:</w:t>
            </w:r>
          </w:p>
          <w:p w14:paraId="628E4EC6" w14:textId="183A87F4" w:rsidR="00F1705D" w:rsidRPr="005E294F" w:rsidRDefault="0081296A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1D81" w:rsidRPr="002A0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21F54"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BBF" w:rsidRPr="005E294F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D74BBF" w:rsidRPr="005E294F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5E294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5E294F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wczesnego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5E294F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D25DD4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lub HER2-ujemnego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5E294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5E294F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5E294F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5E294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5E294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870EF2E" w14:textId="77777777" w:rsidR="00F1705D" w:rsidRPr="002A05BA" w:rsidRDefault="0081296A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BBF" w:rsidRPr="005E294F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D74BBF" w:rsidRPr="005E294F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5E294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5E294F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2A05BA">
              <w:rPr>
                <w:rFonts w:ascii="Times New Roman" w:hAnsi="Times New Roman" w:cs="Times New Roman"/>
                <w:sz w:val="20"/>
                <w:szCs w:val="20"/>
              </w:rPr>
              <w:t>HER2-ujemnego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2A05BA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F77B7D"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9531A" w:rsidRPr="002A05BA">
              <w:rPr>
                <w:rFonts w:ascii="Times New Roman" w:hAnsi="Times New Roman" w:cs="Times New Roman"/>
                <w:sz w:val="20"/>
                <w:szCs w:val="20"/>
              </w:rPr>
              <w:t>dodatniego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0A59EA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F947320" w14:textId="77777777" w:rsidR="00F1705D" w:rsidRPr="002A05BA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ystąpienie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lek,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mysie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kontynuacje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2D119467" w14:textId="77777777" w:rsidR="00F1705D" w:rsidRPr="002A05BA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ogorszenie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jakości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lekarza;</w:t>
            </w:r>
          </w:p>
          <w:p w14:paraId="1676FDF9" w14:textId="77777777" w:rsidR="00F1705D" w:rsidRPr="002A05BA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res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przypadków,</w:t>
            </w:r>
            <w:r w:rsidR="009E457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wspólnie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Konsultantem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Krajowym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Konsultantem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Wojewódzkim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oceni,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przeciwnowotworowej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większą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korzyść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9E457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uzasadnione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finansowanie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takim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02CCA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DFA0907" w14:textId="77777777" w:rsidR="00F1705D" w:rsidRPr="002A05BA" w:rsidRDefault="00103604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9E457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zwłaszcza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2A05BA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2A05BA">
              <w:rPr>
                <w:rFonts w:ascii="Times New Roman" w:hAnsi="Times New Roman" w:cs="Times New Roman"/>
                <w:sz w:val="20"/>
                <w:szCs w:val="20"/>
              </w:rPr>
              <w:t>opiekunów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2A05BA">
              <w:rPr>
                <w:rFonts w:ascii="Times New Roman" w:hAnsi="Times New Roman" w:cs="Times New Roman"/>
                <w:sz w:val="20"/>
                <w:szCs w:val="20"/>
              </w:rPr>
              <w:t>prawnych.</w:t>
            </w:r>
          </w:p>
          <w:p w14:paraId="2C394E00" w14:textId="77777777" w:rsidR="00802CCA" w:rsidRPr="002A05BA" w:rsidRDefault="00802CCA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9" w:type="dxa"/>
          </w:tcPr>
          <w:p w14:paraId="2D72249A" w14:textId="77777777" w:rsidR="00712EB2" w:rsidRPr="002A05BA" w:rsidRDefault="00712EB2" w:rsidP="00D92ACE">
            <w:pPr>
              <w:pStyle w:val="Akapitzlist"/>
              <w:numPr>
                <w:ilvl w:val="0"/>
                <w:numId w:val="8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 wczesnego raka piersi</w:t>
            </w:r>
          </w:p>
          <w:p w14:paraId="0EF2F02E" w14:textId="77777777" w:rsidR="00F1705D" w:rsidRPr="002A05BA" w:rsidRDefault="00971D9B" w:rsidP="00FB6963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wczesnego,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18F4CC16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02462463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57EEACE0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7A6AEF15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7362E413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podskórnego: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cyklu).</w:t>
            </w:r>
          </w:p>
          <w:p w14:paraId="33D49906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840mg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7DFF5936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420mg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480E6B3F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3528D3" w14:textId="77777777" w:rsidR="00971D9B" w:rsidRPr="002A05BA" w:rsidRDefault="00971D9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2A05BA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2A05BA">
              <w:rPr>
                <w:rFonts w:ascii="Times New Roman" w:hAnsi="Times New Roman" w:cs="Times New Roman"/>
                <w:sz w:val="20"/>
                <w:szCs w:val="20"/>
              </w:rPr>
              <w:t>rytmu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2A05BA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7391"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AB2520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E6C17CB" w14:textId="77777777" w:rsidR="00AB2520" w:rsidRPr="002A05BA" w:rsidRDefault="00AB25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D9AB60" w14:textId="77777777" w:rsidR="00AB2520" w:rsidRPr="002A05BA" w:rsidRDefault="00AB25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Dawka </w:t>
            </w:r>
            <w:proofErr w:type="spellStart"/>
            <w:r w:rsidR="0063355B"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63355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3355B" w:rsidRPr="002A05BA">
              <w:rPr>
                <w:rFonts w:ascii="Times New Roman" w:hAnsi="Times New Roman" w:cs="Times New Roman"/>
                <w:sz w:val="20"/>
                <w:szCs w:val="20"/>
              </w:rPr>
              <w:t>emtanzyny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: 3,6 mg/kg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 (co 3 tygodnie).</w:t>
            </w:r>
          </w:p>
          <w:p w14:paraId="7090598A" w14:textId="77777777" w:rsidR="00FA2F38" w:rsidRPr="002A05BA" w:rsidRDefault="00FA2F38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CC7F0E6" w14:textId="77777777" w:rsidR="00FA2F38" w:rsidRPr="002A05BA" w:rsidRDefault="00FA2F38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  <w:p w14:paraId="4D71ABCD" w14:textId="77777777" w:rsidR="00FA2F38" w:rsidRPr="002A05BA" w:rsidRDefault="00FA2F38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D8C83E" w14:textId="77777777" w:rsidR="00EC5D86" w:rsidRPr="002A05BA" w:rsidRDefault="00EC5D86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4386B429" w14:textId="77777777" w:rsidR="00EC5D86" w:rsidRPr="002A05BA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antracyklinami</w:t>
            </w:r>
            <w:proofErr w:type="spellEnd"/>
            <w:r w:rsidR="009A7533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1BA673B" w14:textId="77777777" w:rsidR="00EC5D86" w:rsidRPr="002A05BA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antracyklinami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9A7533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7171037" w14:textId="77777777" w:rsidR="00EC5D86" w:rsidRPr="002A05BA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adjuwantową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karboplatyny</w:t>
            </w:r>
            <w:proofErr w:type="spellEnd"/>
            <w:r w:rsidR="009A7533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AD5AFED" w14:textId="77777777" w:rsidR="00EC5D86" w:rsidRPr="002A05BA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adjuwantową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9A7533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2CAD571" w14:textId="77777777" w:rsidR="00EC5D86" w:rsidRPr="002A05BA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proofErr w:type="spellEnd"/>
            <w:r w:rsidR="009A7533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A6B0853" w14:textId="77777777" w:rsidR="00EC5D86" w:rsidRPr="002A05BA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proofErr w:type="spellEnd"/>
            <w:r w:rsidR="009A7533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72B1B70" w14:textId="77777777" w:rsidR="0040465B" w:rsidRPr="002A05BA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C875DF" w14:textId="77777777" w:rsidR="0040465B" w:rsidRPr="002A05BA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Całkowity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trwa:</w:t>
            </w:r>
          </w:p>
          <w:p w14:paraId="345ED237" w14:textId="77777777" w:rsidR="0040465B" w:rsidRPr="002A05BA" w:rsidRDefault="0040465B" w:rsidP="00D92ACE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schemacie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określonym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3CF5" w:rsidRPr="002A05BA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4B35888" w14:textId="77777777" w:rsidR="0040465B" w:rsidRPr="002A05BA" w:rsidRDefault="0040465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F5816FF" w14:textId="77777777" w:rsidR="008363E1" w:rsidRPr="002A05BA" w:rsidRDefault="00626F2A" w:rsidP="00D92ACE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1771A50" w14:textId="77777777" w:rsidR="008363E1" w:rsidRPr="002A05BA" w:rsidRDefault="00836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395B8F" w14:textId="77777777" w:rsidR="0040465B" w:rsidRPr="002A05BA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wznowić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najszybciej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przeprowadzonym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operacyjnym.</w:t>
            </w:r>
          </w:p>
          <w:p w14:paraId="707A5763" w14:textId="77777777" w:rsidR="0040465B" w:rsidRPr="002A05BA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775406" w14:textId="77777777" w:rsidR="0040465B" w:rsidRPr="002A05BA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ponowne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podjęcie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uzupełniającego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przerwie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trwającej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Warunkiem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takiego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sytuacji,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spowodowane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zostały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wystąpieniem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progresją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choroby.</w:t>
            </w:r>
          </w:p>
          <w:p w14:paraId="1CDF22C1" w14:textId="77777777" w:rsidR="0040465B" w:rsidRPr="002A05BA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44FEE9" w14:textId="77777777" w:rsidR="0040465B" w:rsidRPr="002A05BA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neoadjuwantowym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F2763F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CF3FE58" w14:textId="77777777" w:rsidR="0040465B" w:rsidRPr="002A05BA" w:rsidRDefault="0040465B" w:rsidP="00D92ACE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7715DAB" w14:textId="77777777" w:rsidR="0040465B" w:rsidRPr="002A05BA" w:rsidRDefault="00F2763F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0465B" w:rsidRPr="002A05BA">
              <w:rPr>
                <w:rFonts w:ascii="Times New Roman" w:hAnsi="Times New Roman" w:cs="Times New Roman"/>
                <w:sz w:val="20"/>
                <w:szCs w:val="20"/>
              </w:rPr>
              <w:t>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32351F3" w14:textId="77777777" w:rsidR="0040465B" w:rsidRPr="002A05BA" w:rsidRDefault="00626F2A" w:rsidP="00D92ACE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763F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D0B8F2C" w14:textId="77777777" w:rsidR="008363E1" w:rsidRPr="002A05BA" w:rsidRDefault="00836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807828" w14:textId="77777777" w:rsidR="0040465B" w:rsidRPr="002A05BA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przerywa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E8E79F6" w14:textId="77777777" w:rsidR="0040465B" w:rsidRPr="002A05BA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E9ADA0" w14:textId="77777777" w:rsidR="00AB086A" w:rsidRPr="002A05BA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operacyjnym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stosuje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uzupełniające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(stosowanego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1B6DC77" w14:textId="77777777" w:rsidR="009A7533" w:rsidRPr="002A05BA" w:rsidRDefault="009A7533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34BF7D" w14:textId="77777777" w:rsidR="0016207C" w:rsidRPr="002A05BA" w:rsidRDefault="0016207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B115B3" w:rsidRPr="002A05BA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B115B3" w:rsidRPr="002A05BA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pooperacyjnym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uwantowym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piersi):</w:t>
            </w:r>
          </w:p>
          <w:p w14:paraId="75A2D46E" w14:textId="77777777" w:rsidR="0016207C" w:rsidRPr="002A05BA" w:rsidRDefault="0016207C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podań,</w:t>
            </w:r>
          </w:p>
          <w:p w14:paraId="02BC7EBE" w14:textId="77777777" w:rsidR="0016207C" w:rsidRPr="002A05BA" w:rsidRDefault="0016207C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456FF64" w14:textId="77777777" w:rsidR="0016207C" w:rsidRPr="002A05BA" w:rsidRDefault="0016207C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02CCA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89053EE" w14:textId="77777777" w:rsidR="0016207C" w:rsidRPr="002A05BA" w:rsidRDefault="0016207C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03F0AF93" w14:textId="77777777" w:rsidR="0016207C" w:rsidRPr="002A05BA" w:rsidRDefault="0016207C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707CC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38C5346" w14:textId="77777777" w:rsidR="0016207C" w:rsidRPr="002A05BA" w:rsidRDefault="0016207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02535A" w:rsidRPr="002A05BA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02535A" w:rsidRPr="002A05BA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spowodowane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wystąpieniem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niezwiązanych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samym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włączeni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uwantowego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schematem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zawierającym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ukończyć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zawierającą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(łącznie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2535A"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02535A" w:rsidRPr="002A05BA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79637918" w14:textId="77777777" w:rsidR="00D92ACE" w:rsidRPr="002A05BA" w:rsidRDefault="00D92ACE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121510" w14:textId="77777777" w:rsidR="00D25DD4" w:rsidRPr="005E294F" w:rsidRDefault="00D25DD4" w:rsidP="005E294F">
            <w:pPr>
              <w:numPr>
                <w:ilvl w:val="1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wczesnego HR-dodatniego, HER2-ujemnego raka piersi</w:t>
            </w:r>
          </w:p>
          <w:p w14:paraId="69BEEEA9" w14:textId="77777777" w:rsidR="00D25DD4" w:rsidRPr="005E294F" w:rsidRDefault="00D25DD4" w:rsidP="005E294F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Zalecana maksymalna dawka dobowa </w:t>
            </w:r>
            <w:proofErr w:type="spellStart"/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>abemacyklibu</w:t>
            </w:r>
            <w:proofErr w:type="spellEnd"/>
            <w:r w:rsidRPr="005E294F">
              <w:rPr>
                <w:rFonts w:ascii="Times New Roman" w:eastAsia="Calibri" w:hAnsi="Times New Roman" w:cs="Times New Roman"/>
                <w:sz w:val="20"/>
                <w:szCs w:val="20"/>
              </w:rPr>
              <w:t>: 300 mg/dobę (2 x 150 mg) codziennie (1 cykl trwa 28 dni).</w:t>
            </w:r>
          </w:p>
          <w:p w14:paraId="5CD6C04E" w14:textId="77777777" w:rsidR="00D25DD4" w:rsidRPr="005E294F" w:rsidRDefault="00D25DD4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Rozpoczęcie terapii </w:t>
            </w:r>
            <w:proofErr w:type="spellStart"/>
            <w:r w:rsidRPr="005E294F">
              <w:rPr>
                <w:rFonts w:ascii="Times New Roman" w:hAnsi="Times New Roman" w:cs="Times New Roman"/>
                <w:bCs/>
                <w:sz w:val="20"/>
                <w:szCs w:val="20"/>
              </w:rPr>
              <w:t>abemacyklibem</w:t>
            </w:r>
            <w:proofErr w:type="spellEnd"/>
            <w:r w:rsidRPr="005E29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powinno mieć miejsce nie później niż 3 miesiące od rozpoczęcia hormonoterapii uzupełniającej (po radykalnym leczeniu operacyjnym).</w:t>
            </w:r>
          </w:p>
          <w:p w14:paraId="359C544B" w14:textId="77777777" w:rsidR="00D25DD4" w:rsidRPr="005E294F" w:rsidRDefault="00D25DD4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Dawka dobowa inhibitorów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antagoisty</w:t>
            </w:r>
            <w:proofErr w:type="spellEnd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estrogenu stosowanych w skojarzeniu z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495A808F" w14:textId="77777777" w:rsidR="00D25DD4" w:rsidRPr="005E294F" w:rsidRDefault="00D25DD4" w:rsidP="005E294F">
            <w:pPr>
              <w:numPr>
                <w:ilvl w:val="4"/>
                <w:numId w:val="3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letrozol</w:t>
            </w:r>
            <w:proofErr w:type="spellEnd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: 2,5mg/dobę</w:t>
            </w:r>
          </w:p>
          <w:p w14:paraId="3002DA72" w14:textId="77777777" w:rsidR="00D25DD4" w:rsidRPr="005E294F" w:rsidRDefault="00D25DD4" w:rsidP="005E294F">
            <w:pPr>
              <w:numPr>
                <w:ilvl w:val="4"/>
                <w:numId w:val="3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anastrozol</w:t>
            </w:r>
            <w:proofErr w:type="spellEnd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: 1 mg/dobę</w:t>
            </w:r>
          </w:p>
          <w:p w14:paraId="788321D9" w14:textId="77777777" w:rsidR="00D25DD4" w:rsidRPr="005E294F" w:rsidRDefault="00D25DD4" w:rsidP="005E294F">
            <w:pPr>
              <w:numPr>
                <w:ilvl w:val="4"/>
                <w:numId w:val="3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eksemestan:25 mg/ dobę</w:t>
            </w:r>
          </w:p>
          <w:p w14:paraId="59B68B40" w14:textId="77777777" w:rsidR="00D25DD4" w:rsidRPr="005E294F" w:rsidRDefault="00D25DD4" w:rsidP="005E294F">
            <w:pPr>
              <w:numPr>
                <w:ilvl w:val="4"/>
                <w:numId w:val="3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tamoksyfen</w:t>
            </w:r>
            <w:proofErr w:type="spellEnd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: 20 mg/dobę</w:t>
            </w:r>
          </w:p>
          <w:p w14:paraId="4B08F52F" w14:textId="77777777" w:rsidR="00D25DD4" w:rsidRPr="005E294F" w:rsidRDefault="00D25DD4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81920F" w14:textId="28B5773F" w:rsidR="00117E26" w:rsidRPr="005E294F" w:rsidRDefault="00117E26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U chorych z zachowaną czynnością jajników w okresie przed- i około menopauzalnym należy rozważyć stosowanie jednocześnie gosereliny.  </w:t>
            </w:r>
          </w:p>
          <w:p w14:paraId="31B2EB3C" w14:textId="77777777" w:rsidR="00D25DD4" w:rsidRPr="005E294F" w:rsidRDefault="00D25DD4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 przypadku wystąpienia toksyczności związanej z inhibitorem CDK 4/6 podawanie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cyklibu</w:t>
            </w:r>
            <w:proofErr w:type="spellEnd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może być czasowo wstrzymane, a hormonoterapia może być kontynuowana. Maksymalne opóźnienie w podaniu kolejnej dawki inhibitora nie może przekraczać 28 dni.</w:t>
            </w:r>
          </w:p>
          <w:p w14:paraId="37F72A80" w14:textId="77777777" w:rsidR="00D25DD4" w:rsidRPr="005E294F" w:rsidRDefault="00D25DD4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2631D7" w14:textId="77777777" w:rsidR="00D25DD4" w:rsidRPr="005E294F" w:rsidRDefault="00D25DD4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 odpowiedniego leku.</w:t>
            </w:r>
          </w:p>
          <w:p w14:paraId="7452C790" w14:textId="77777777" w:rsidR="00D25DD4" w:rsidRPr="005E294F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6BEE3F0" w14:textId="77777777" w:rsidR="00D25DD4" w:rsidRPr="005E294F" w:rsidRDefault="00D25DD4" w:rsidP="005E294F">
            <w:pPr>
              <w:numPr>
                <w:ilvl w:val="2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E29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 leczenia:</w:t>
            </w:r>
          </w:p>
          <w:p w14:paraId="043B3526" w14:textId="77777777" w:rsidR="00D25DD4" w:rsidRPr="005E294F" w:rsidRDefault="00D25DD4" w:rsidP="005E294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29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 trwa maksymalnie 24 miesiące (1 cykl leczenia trwa 4 tygodnie) lub do czasu wystąpienia progresji choroby podstawowej lub niemożliwej do zaakceptowania toksyczności albo do czasu podjęcia przez lekarza prowadzącego decyzji o wyłączeniu świadczeniobiorcy z programu, zgodnie z kryteriami wyłączenia z programu.</w:t>
            </w:r>
          </w:p>
          <w:p w14:paraId="33B976DF" w14:textId="77777777" w:rsidR="00D25DD4" w:rsidRDefault="00D25DD4" w:rsidP="00D25DD4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82997A9" w14:textId="6F809AA4" w:rsidR="00F1705D" w:rsidRPr="002A05BA" w:rsidRDefault="0063355B" w:rsidP="00FB6963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wczesnego</w:t>
            </w:r>
            <w:r w:rsidR="00712EB2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HER2-ujemnego i potrójnie ujemnego raka piersi</w:t>
            </w:r>
          </w:p>
          <w:p w14:paraId="6EAC17AB" w14:textId="77777777" w:rsidR="00712EB2" w:rsidRPr="002A05BA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Zalecana maksymalna dobowa dawka olaparybu:  600 mg/dobę (codziennie). </w:t>
            </w:r>
          </w:p>
          <w:p w14:paraId="5B14DCE7" w14:textId="77777777" w:rsidR="00F1705D" w:rsidRPr="002A05BA" w:rsidRDefault="00712EB2" w:rsidP="00FB696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Należy rozpocząć nie później niż w ciągu 12 tygodni od zakończenia ostatniej terapii przeciwnowotworowej. </w:t>
            </w:r>
          </w:p>
          <w:p w14:paraId="4A6B6568" w14:textId="77777777" w:rsidR="00712EB2" w:rsidRPr="002A05BA" w:rsidRDefault="006335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Możliwe jest jednoczesne stosowanie olaparybu z hormonoterapią.</w:t>
            </w:r>
          </w:p>
          <w:p w14:paraId="151E184E" w14:textId="77777777" w:rsidR="00F1705D" w:rsidRPr="002A05BA" w:rsidRDefault="00712EB2" w:rsidP="00FB696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Szczegóły dotyczące sposobu podawania, ewentualnego czasowego wstrzymania leczenia oraz ewentualnego zmniejszania dawki leku zgodnie z aktualną Charakterystyką Produktu Leczniczego</w:t>
            </w:r>
            <w:r w:rsidR="0017268F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3E9733CA" w14:textId="77777777" w:rsidR="00F1705D" w:rsidRPr="002A05BA" w:rsidRDefault="0063355B" w:rsidP="00FB6963">
            <w:pPr>
              <w:pStyle w:val="Akapitzlist"/>
              <w:numPr>
                <w:ilvl w:val="2"/>
                <w:numId w:val="10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 leczenia</w:t>
            </w:r>
          </w:p>
          <w:p w14:paraId="49AAA2DA" w14:textId="77777777" w:rsidR="00712EB2" w:rsidRPr="002A05BA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 trwa łącznie 13 cykli (cykl trwa 28 dni) lub do czasu wystąpienia progresji choroby podstawowej lub niemożliwej do zaakceptowania toksyczności albo do czasu podjęcia przez lekarza prowadzącego decyzji o wyłączeniu świadczeniobiorcy z programu, zgodnie z kryteriami wyłączenia z programu.</w:t>
            </w:r>
          </w:p>
          <w:p w14:paraId="32365033" w14:textId="77777777" w:rsidR="00712EB2" w:rsidRPr="002A05BA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AF878C" w14:textId="77777777" w:rsidR="00F1705D" w:rsidRPr="002A05BA" w:rsidRDefault="00712EB2" w:rsidP="00FB6963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okołooperacyjne wczesnego potrójnie ujemnego raka piersi</w:t>
            </w:r>
          </w:p>
          <w:p w14:paraId="30EFE997" w14:textId="77777777" w:rsidR="00712EB2" w:rsidRPr="002A05BA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Dawka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w fazie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neoadjuwantowej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200 mg co 3 tygodnie lub po 400 mg co 6 tygodni.</w:t>
            </w:r>
          </w:p>
          <w:p w14:paraId="7EE116A0" w14:textId="77777777" w:rsidR="00712EB2" w:rsidRPr="002A05BA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C2DF0FD" w14:textId="77777777" w:rsidR="00712EB2" w:rsidRPr="002A05BA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Cs/>
                <w:sz w:val="20"/>
                <w:szCs w:val="20"/>
              </w:rPr>
              <w:t>Całkowity czas aktywnej terapii pembrolizumabem w leczeniu przedoperacyjnym (</w:t>
            </w:r>
            <w:proofErr w:type="spellStart"/>
            <w:r w:rsidRPr="002A05BA">
              <w:rPr>
                <w:rFonts w:ascii="Times New Roman" w:hAnsi="Times New Roman" w:cs="Times New Roman"/>
                <w:bCs/>
                <w:sz w:val="20"/>
                <w:szCs w:val="20"/>
              </w:rPr>
              <w:t>neoadjuwantowym</w:t>
            </w:r>
            <w:proofErr w:type="spellEnd"/>
            <w:r w:rsidRPr="002A05BA">
              <w:rPr>
                <w:rFonts w:ascii="Times New Roman" w:hAnsi="Times New Roman" w:cs="Times New Roman"/>
                <w:bCs/>
                <w:sz w:val="20"/>
                <w:szCs w:val="20"/>
              </w:rPr>
              <w:t>) w skojarzeniu z chemioterapią:</w:t>
            </w:r>
          </w:p>
          <w:p w14:paraId="2982CCF0" w14:textId="77777777" w:rsidR="00712EB2" w:rsidRPr="002A05BA" w:rsidRDefault="00712EB2" w:rsidP="00D92ACE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obejmuje 8 dawek pembrolizumabu po 200 mg co 3 tygodnie lub 4 dawki pembrolizumabu po 400 mg co 6 tygodni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9FCE16A" w14:textId="77777777" w:rsidR="00712EB2" w:rsidRPr="002A05BA" w:rsidRDefault="00712EB2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albo </w:t>
            </w:r>
          </w:p>
          <w:p w14:paraId="15606B43" w14:textId="77777777" w:rsidR="00712EB2" w:rsidRPr="002A05BA" w:rsidRDefault="00712EB2" w:rsidP="00D92ACE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trwa do momentu stwierdzenia progresji choroby wykluczającej radykalne leczenie chirurgiczne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EFFB552" w14:textId="77777777" w:rsidR="00712EB2" w:rsidRPr="002A05BA" w:rsidRDefault="00712EB2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2DBC54F" w14:textId="77777777" w:rsidR="00712EB2" w:rsidRPr="002A05BA" w:rsidRDefault="00712EB2" w:rsidP="00D92ACE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A05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trwa do czasu podjęcia przez lekarza prowadzącego decyzji o wyłączeniu świadczeniobiorcy z programu, zgodnie z kryteriami wyłączenia z programu, o których mowa w ust. 4.</w:t>
            </w:r>
          </w:p>
          <w:p w14:paraId="642D3C37" w14:textId="77777777" w:rsidR="00712EB2" w:rsidRPr="002A05BA" w:rsidRDefault="00712EB2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66C05FD" w14:textId="77777777" w:rsidR="00712EB2" w:rsidRPr="002A05BA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Całkowity czas aktywnej terapii pembrolizumabem w leczeniu pooperacyjnym (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adjuwantowym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692E85FC" w14:textId="77777777" w:rsidR="00712EB2" w:rsidRPr="002A05BA" w:rsidRDefault="00712EB2" w:rsidP="00D92ACE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obejmuje 9 dawek pembrolizumabu po 200 mg co 3 tygodnie lub 5 dawek pembrolizumabu po 400 mg co 6 tygodni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8D714E6" w14:textId="77777777" w:rsidR="00712EB2" w:rsidRPr="002A05BA" w:rsidRDefault="00712EB2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E499B2A" w14:textId="77777777" w:rsidR="00712EB2" w:rsidRPr="002A05BA" w:rsidRDefault="00712EB2" w:rsidP="00D92ACE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trwa do wystąpienia nawrotu choroby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8D26B67" w14:textId="77777777" w:rsidR="00712EB2" w:rsidRPr="002A05BA" w:rsidRDefault="00712EB2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B6F43C2" w14:textId="77777777" w:rsidR="00712EB2" w:rsidRPr="002A05BA" w:rsidRDefault="00712EB2" w:rsidP="00D92ACE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trwa do czasu podjęcia przez lekarza prowadzącego decyzji o wyłączeniu świadczeniobiorcy z programu, zgodnie z kryteriami wyłączenia z programu, o których mowa w ust. 4.</w:t>
            </w:r>
          </w:p>
          <w:p w14:paraId="16872E30" w14:textId="77777777" w:rsidR="00F1705D" w:rsidRPr="002A05BA" w:rsidRDefault="00F1705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1B7B01" w14:textId="3A988B45" w:rsidR="00712EB2" w:rsidRPr="005E294F" w:rsidRDefault="00712EB2" w:rsidP="005E294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Szczegóły dotyczące sposobu podawania, ewentualnego czasowego wstrzymania leczenia oraz ewentualnego zmniejszania dawki leku zgodnie z aktualną Charakterystyką Produktu Leczniczego odpowiedniego leku. </w:t>
            </w:r>
          </w:p>
          <w:p w14:paraId="4E4A9CC5" w14:textId="77777777" w:rsidR="00F1705D" w:rsidRPr="002A05BA" w:rsidRDefault="00712EB2" w:rsidP="00FB6963">
            <w:pPr>
              <w:pStyle w:val="Akapitzlist"/>
              <w:numPr>
                <w:ilvl w:val="2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 leczenia</w:t>
            </w:r>
          </w:p>
          <w:p w14:paraId="1F6D0F61" w14:textId="77777777" w:rsidR="00712EB2" w:rsidRPr="002A05BA" w:rsidRDefault="00712EB2" w:rsidP="00D92A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A05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Leczenie przedoperacyjne obejmuje maksymalnie 8 podań pembrolizumabu co 3 tygodnie lub 4 podania co 6 tygodni w odpowiednich dawkach wraz ze stosowaniem chemioterapii. Leczenie pooperacyjne obejmuje nie więcej niż 9 podań pembrolizumabu co </w:t>
            </w:r>
            <w:r w:rsidRPr="002A05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3 tygodnie lub 5 podań co 6 tygodni w odpowiednich dawkach. W leczeniu pooperacyjnym, jeżeli istnieją wskazania kliniczne dopuszczalne jest także prowadzenie radioterapii. </w:t>
            </w:r>
          </w:p>
          <w:p w14:paraId="35F3BF9A" w14:textId="77777777" w:rsidR="00712EB2" w:rsidRPr="002A05BA" w:rsidRDefault="00712EB2" w:rsidP="00D92A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A05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Leczenie trwa do czasu podjęcia przez lekarza prowadzącego decyzji o wyłączeniu świadczeniobiorcy z programu, zgodnie z kryteriami wyłączenia z programu,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 których mowa w ust</w:t>
            </w:r>
            <w:r w:rsidR="00D92ACE" w:rsidRPr="002A05BA">
              <w:rPr>
                <w:rFonts w:ascii="Times New Roman" w:hAnsi="Times New Roman" w:cs="Times New Roman"/>
                <w:sz w:val="20"/>
                <w:szCs w:val="20"/>
              </w:rPr>
              <w:t>. 3.</w:t>
            </w:r>
            <w:r w:rsidRPr="002A05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30A35BC" w14:textId="77777777" w:rsidR="00F2763F" w:rsidRPr="002A05BA" w:rsidRDefault="00F2763F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BC4F61" w14:textId="77777777" w:rsidR="00FB5526" w:rsidRPr="002A05BA" w:rsidRDefault="00FB5526" w:rsidP="00D92ACE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683E0D29" w14:textId="77777777" w:rsidR="001707CC" w:rsidRPr="002A05BA" w:rsidRDefault="00FB5526" w:rsidP="00D92ACE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</w:t>
            </w:r>
            <w:r w:rsidR="00BF0632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</w:p>
          <w:p w14:paraId="2F8BBE54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1F116D97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7AA601DC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4DA2441D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651BFBA7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podskórnego: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cyklu).</w:t>
            </w:r>
          </w:p>
          <w:p w14:paraId="7D921DD1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EC732" w14:textId="77777777" w:rsidR="00852B9E" w:rsidRPr="002A05BA" w:rsidRDefault="00852B9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257CB523" w14:textId="77777777" w:rsidR="00852B9E" w:rsidRPr="002A05BA" w:rsidRDefault="00852B9E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C3DCFBD" w14:textId="77777777" w:rsidR="00852B9E" w:rsidRPr="002A05BA" w:rsidRDefault="00852B9E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A575F33" w14:textId="77777777" w:rsidR="00852B9E" w:rsidRPr="002A05BA" w:rsidRDefault="00852B9E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4EC03B0" w14:textId="77777777" w:rsidR="00EC5D86" w:rsidRPr="002A05BA" w:rsidRDefault="00EC5D86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D5660D0" w14:textId="77777777" w:rsidR="00852B9E" w:rsidRPr="002A05BA" w:rsidRDefault="00852B9E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5CCD85E" w14:textId="77777777" w:rsidR="00EC5D86" w:rsidRPr="002A05BA" w:rsidRDefault="00EC5D86" w:rsidP="00D92ACE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954897" w14:textId="77777777" w:rsidR="00FB5526" w:rsidRPr="002A05BA" w:rsidRDefault="00777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840mg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1707CC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00EBCC4" w14:textId="77777777" w:rsidR="00FB5526" w:rsidRPr="002A05BA" w:rsidRDefault="00777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36318" w:rsidRPr="002A05BA">
              <w:rPr>
                <w:rFonts w:ascii="Times New Roman" w:hAnsi="Times New Roman" w:cs="Times New Roman"/>
                <w:sz w:val="20"/>
                <w:szCs w:val="20"/>
              </w:rPr>
              <w:t>ertuzumabu</w:t>
            </w:r>
            <w:proofErr w:type="spellEnd"/>
            <w:r w:rsidR="00836318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A05BA">
              <w:rPr>
                <w:rFonts w:ascii="Times New Roman" w:hAnsi="Times New Roman" w:cs="Times New Roman"/>
                <w:sz w:val="20"/>
                <w:szCs w:val="20"/>
              </w:rPr>
              <w:t>420mg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A05BA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A05BA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707CC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6CAB69" w14:textId="77777777" w:rsidR="00FB5526" w:rsidRPr="002A05BA" w:rsidRDefault="00777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docetak</w:t>
            </w:r>
            <w:r w:rsidR="00836318" w:rsidRPr="002A05BA">
              <w:rPr>
                <w:rFonts w:ascii="Times New Roman" w:hAnsi="Times New Roman" w:cs="Times New Roman"/>
                <w:sz w:val="20"/>
                <w:szCs w:val="20"/>
              </w:rPr>
              <w:t>selu</w:t>
            </w:r>
            <w:proofErr w:type="spellEnd"/>
            <w:r w:rsidR="00836318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A05BA">
              <w:rPr>
                <w:rFonts w:ascii="Times New Roman" w:hAnsi="Times New Roman" w:cs="Times New Roman"/>
                <w:sz w:val="20"/>
                <w:szCs w:val="20"/>
              </w:rPr>
              <w:t>75-100mg/m2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A05BA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A05BA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3F88687" w14:textId="77777777" w:rsidR="00FB5526" w:rsidRPr="002A05BA" w:rsidRDefault="00FB552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4DC967" w14:textId="77777777" w:rsidR="00FB5526" w:rsidRPr="002A05BA" w:rsidRDefault="00836318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łączonej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podać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tylko,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wystąpią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istotne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objawy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niepożądane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kontynuację.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A11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klinicznie.</w:t>
            </w:r>
          </w:p>
          <w:p w14:paraId="533449FC" w14:textId="77777777" w:rsidR="00FB5526" w:rsidRPr="002A05BA" w:rsidRDefault="00FB552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073306" w14:textId="77777777" w:rsidR="00FB5526" w:rsidRPr="002A05BA" w:rsidRDefault="00FB552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zostanie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A11A11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CD4" w:rsidRPr="002A05BA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CD4" w:rsidRPr="002A05BA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klinicznym.</w:t>
            </w:r>
          </w:p>
          <w:p w14:paraId="673D24ED" w14:textId="77777777" w:rsidR="00245C11" w:rsidRPr="002A05BA" w:rsidRDefault="00245C1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BE7755" w14:textId="77777777" w:rsidR="00FB5526" w:rsidRPr="002A05BA" w:rsidRDefault="00A11A1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emtanzyny</w:t>
            </w:r>
            <w:proofErr w:type="spellEnd"/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="00802CCA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8F4CC8C" w14:textId="77777777" w:rsidR="00D96DEC" w:rsidRPr="002A05BA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tukatynibu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(codziennie)</w:t>
            </w:r>
            <w:r w:rsidR="00802CCA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257FA71" w14:textId="77777777" w:rsidR="00D96DEC" w:rsidRPr="002A05BA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802CCA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42F83E4" w14:textId="77777777" w:rsidR="00D96DEC" w:rsidRPr="002A05BA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802CCA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DE37634" w14:textId="77777777" w:rsidR="00D96DEC" w:rsidRPr="002A05BA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podskórnego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cyklu)</w:t>
            </w:r>
            <w:r w:rsidR="00802CCA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A3A8175" w14:textId="77777777" w:rsidR="00D96DEC" w:rsidRPr="002A05BA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8533CE" w14:textId="77777777" w:rsidR="00D96DEC" w:rsidRPr="002A05BA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</w:p>
          <w:p w14:paraId="0E21388F" w14:textId="77777777" w:rsidR="00D96DEC" w:rsidRPr="002A05BA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838DCF" w14:textId="77777777" w:rsidR="00D96DEC" w:rsidRPr="002A05BA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kapecytabiny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mg/m2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(dwie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podzielone)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21-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dniowych.</w:t>
            </w:r>
          </w:p>
          <w:p w14:paraId="70E3F917" w14:textId="77777777" w:rsidR="00AB2520" w:rsidRPr="002A05BA" w:rsidRDefault="00AB25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D7DEB7" w14:textId="77777777" w:rsidR="00AB2520" w:rsidRPr="002A05BA" w:rsidRDefault="00AB25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Dawka </w:t>
            </w:r>
            <w:proofErr w:type="spellStart"/>
            <w:r w:rsidR="0063355B"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63355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3355B" w:rsidRPr="002A05BA">
              <w:rPr>
                <w:rFonts w:ascii="Times New Roman" w:hAnsi="Times New Roman" w:cs="Times New Roman"/>
                <w:sz w:val="20"/>
                <w:szCs w:val="20"/>
              </w:rPr>
              <w:t>derukstekanu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: 5,4 mg/kg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 (co 3 tygodnie).</w:t>
            </w:r>
          </w:p>
          <w:p w14:paraId="1887F9F6" w14:textId="77777777" w:rsidR="001746F7" w:rsidRPr="002A05BA" w:rsidRDefault="001746F7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8D0000" w14:textId="77777777" w:rsidR="00642011" w:rsidRPr="002A05BA" w:rsidRDefault="0060787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Szczegóły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dotyczące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wstrzymania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zmniejszania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odpowiedniego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leku.</w:t>
            </w:r>
          </w:p>
          <w:p w14:paraId="4345CB3A" w14:textId="77777777" w:rsidR="00F1705D" w:rsidRPr="002A05BA" w:rsidRDefault="00D92ACE" w:rsidP="005E294F">
            <w:pPr>
              <w:pStyle w:val="Akapitzlist"/>
              <w:numPr>
                <w:ilvl w:val="2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Czas leczenia</w:t>
            </w:r>
          </w:p>
          <w:p w14:paraId="679257FE" w14:textId="77777777" w:rsidR="00D92ACE" w:rsidRPr="002A05BA" w:rsidRDefault="00D92ACE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 trwa do czasu podjęcia przez lekarza prowadzącego decyzji o wyłączeniu świadczeniobiorcy z programu, zgodnie z kryteriami wyłączenia z programu, o których mowa w ust. 3.</w:t>
            </w:r>
          </w:p>
          <w:p w14:paraId="7446A900" w14:textId="77777777" w:rsidR="00D92ACE" w:rsidRPr="002A05BA" w:rsidRDefault="00D92ACE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CE5D42" w14:textId="77777777" w:rsidR="00802CCA" w:rsidRPr="002A05BA" w:rsidRDefault="00802CCA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DC9B58" w14:textId="77777777" w:rsidR="00127F97" w:rsidRPr="002A05BA" w:rsidRDefault="00127F97" w:rsidP="005E294F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HER2-ujemnego</w:t>
            </w:r>
          </w:p>
          <w:p w14:paraId="72406E29" w14:textId="77777777" w:rsidR="00CF560C" w:rsidRPr="002A05BA" w:rsidRDefault="00DA6819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r w:rsidR="00E91A3A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(codziennie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1707CC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CCF0A04" w14:textId="77777777" w:rsidR="00A70DDF" w:rsidRPr="002A05BA" w:rsidRDefault="00DA6819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proofErr w:type="spellEnd"/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600mg/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(codziennie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1707CC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DBFFD51" w14:textId="77777777" w:rsidR="00E21754" w:rsidRPr="002A05BA" w:rsidRDefault="00DA6819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(codziennie,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dni).</w:t>
            </w:r>
          </w:p>
          <w:p w14:paraId="6965D94D" w14:textId="77777777" w:rsidR="00BE59E7" w:rsidRPr="002A05BA" w:rsidRDefault="00DA6819" w:rsidP="005E294F">
            <w:pPr>
              <w:pStyle w:val="TableParagraph"/>
              <w:spacing w:after="60" w:line="276" w:lineRule="auto"/>
              <w:ind w:right="103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A05BA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m</w:t>
            </w:r>
            <w:r w:rsidR="00BE59E7" w:rsidRPr="002A05BA">
              <w:rPr>
                <w:rFonts w:eastAsiaTheme="minorHAnsi"/>
                <w:sz w:val="20"/>
                <w:szCs w:val="20"/>
                <w:lang w:val="pl-PL"/>
              </w:rPr>
              <w:t>aksymalna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2A05BA">
              <w:rPr>
                <w:rFonts w:eastAsiaTheme="minorHAnsi"/>
                <w:sz w:val="20"/>
                <w:szCs w:val="20"/>
                <w:lang w:val="pl-PL"/>
              </w:rPr>
              <w:t>dobowa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2A05BA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BE59E7" w:rsidRPr="002A05BA">
              <w:rPr>
                <w:rFonts w:eastAsiaTheme="minorHAnsi"/>
                <w:sz w:val="20"/>
                <w:szCs w:val="20"/>
                <w:lang w:val="pl-PL"/>
              </w:rPr>
              <w:t>alpelisybu</w:t>
            </w:r>
            <w:proofErr w:type="spellEnd"/>
            <w:r w:rsidR="00BE59E7" w:rsidRPr="002A05BA">
              <w:rPr>
                <w:rFonts w:eastAsiaTheme="minorHAnsi"/>
                <w:sz w:val="20"/>
                <w:szCs w:val="20"/>
                <w:lang w:val="pl-PL"/>
              </w:rPr>
              <w:t>: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2A05BA">
              <w:rPr>
                <w:rFonts w:eastAsiaTheme="minorHAnsi"/>
                <w:sz w:val="20"/>
                <w:szCs w:val="20"/>
                <w:lang w:val="pl-PL"/>
              </w:rPr>
              <w:t>300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2A05BA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2A05BA">
              <w:rPr>
                <w:rFonts w:eastAsiaTheme="minorHAnsi"/>
                <w:sz w:val="20"/>
                <w:szCs w:val="20"/>
                <w:lang w:val="pl-PL"/>
              </w:rPr>
              <w:t>/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2A05BA">
              <w:rPr>
                <w:rFonts w:eastAsiaTheme="minorHAnsi"/>
                <w:sz w:val="20"/>
                <w:szCs w:val="20"/>
                <w:lang w:val="pl-PL"/>
              </w:rPr>
              <w:t>dobę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2A05BA">
              <w:rPr>
                <w:rFonts w:eastAsiaTheme="minorHAnsi"/>
                <w:sz w:val="20"/>
                <w:szCs w:val="20"/>
                <w:lang w:val="pl-PL"/>
              </w:rPr>
              <w:t>(codziennie)</w:t>
            </w:r>
            <w:r w:rsidR="001707CC" w:rsidRPr="002A05BA">
              <w:rPr>
                <w:rFonts w:eastAsiaTheme="minorHAnsi"/>
                <w:sz w:val="20"/>
                <w:szCs w:val="20"/>
                <w:lang w:val="pl-PL"/>
              </w:rPr>
              <w:t>.</w:t>
            </w:r>
          </w:p>
          <w:p w14:paraId="034E46C1" w14:textId="77777777" w:rsidR="000A3C7C" w:rsidRPr="002A05BA" w:rsidRDefault="00DA6819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A3C7C" w:rsidRPr="002A05BA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2A05BA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A3C7C" w:rsidRPr="002A05BA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proofErr w:type="spellEnd"/>
            <w:r w:rsidR="000A3C7C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2A0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2A05BA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2A05B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2A05BA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2A05BA">
              <w:rPr>
                <w:rFonts w:ascii="Times New Roman" w:hAnsi="Times New Roman" w:cs="Times New Roman"/>
                <w:sz w:val="20"/>
                <w:szCs w:val="20"/>
              </w:rPr>
              <w:t>(codziennie)</w:t>
            </w:r>
            <w:r w:rsidR="001707CC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CFCFD2D" w14:textId="77777777" w:rsidR="0017268F" w:rsidRPr="002A05BA" w:rsidRDefault="0017268F" w:rsidP="005E294F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 xml:space="preserve">Zalecana maksymalna dobowa dawka </w:t>
            </w:r>
            <w:r w:rsidR="0063355B" w:rsidRPr="002A05BA">
              <w:rPr>
                <w:rFonts w:ascii="Times New Roman" w:hAnsi="Times New Roman"/>
                <w:sz w:val="20"/>
                <w:szCs w:val="20"/>
              </w:rPr>
              <w:t>olaparybu</w:t>
            </w:r>
            <w:r w:rsidRPr="002A05BA">
              <w:rPr>
                <w:rFonts w:ascii="Times New Roman" w:hAnsi="Times New Roman"/>
                <w:sz w:val="20"/>
                <w:szCs w:val="20"/>
              </w:rPr>
              <w:t xml:space="preserve">:  600 mg/dobę (codziennie). </w:t>
            </w:r>
          </w:p>
          <w:p w14:paraId="4089A7DA" w14:textId="77777777" w:rsidR="00E21754" w:rsidRPr="002A05BA" w:rsidRDefault="00A11A11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fulwestrantu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482B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F482B" w:rsidRPr="002A05BA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="00A442B7" w:rsidRPr="002A05BA">
              <w:rPr>
                <w:rFonts w:ascii="Times New Roman" w:hAnsi="Times New Roman" w:cs="Times New Roman"/>
                <w:sz w:val="20"/>
                <w:szCs w:val="20"/>
              </w:rPr>
              <w:t>pelisybem</w:t>
            </w:r>
            <w:proofErr w:type="spellEnd"/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500mg/dobę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(podawany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miesiąc)</w:t>
            </w:r>
            <w:r w:rsidR="001707CC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BF93460" w14:textId="77777777" w:rsidR="00CF560C" w:rsidRPr="002A05BA" w:rsidRDefault="00A11A11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CDK4/6:</w:t>
            </w:r>
          </w:p>
          <w:p w14:paraId="225B5371" w14:textId="77777777" w:rsidR="00CF560C" w:rsidRPr="002A05BA" w:rsidRDefault="009C652E" w:rsidP="005E294F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etrozol</w:t>
            </w:r>
            <w:proofErr w:type="spellEnd"/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2,5mg/dobę</w:t>
            </w:r>
            <w:r w:rsidR="00802CCA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49CE69A" w14:textId="77777777" w:rsidR="00CF560C" w:rsidRPr="002A05BA" w:rsidRDefault="009C652E" w:rsidP="005E294F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nastrozol</w:t>
            </w:r>
            <w:proofErr w:type="spellEnd"/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802CCA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2475F8A" w14:textId="77777777" w:rsidR="00CF560C" w:rsidRPr="002A05BA" w:rsidRDefault="009C652E" w:rsidP="005E294F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ksemestan:25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mg/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02CCA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728F072" w14:textId="77777777" w:rsidR="00802CCA" w:rsidRPr="002A05BA" w:rsidRDefault="00802CCA" w:rsidP="005E294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9D31E8" w14:textId="77777777" w:rsidR="004343AD" w:rsidRPr="002A05BA" w:rsidRDefault="004343AD" w:rsidP="005E294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związanej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cyklibu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wstrzymane,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hormonoterapia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kontynuowana.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Maksymalne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opóźnienie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kolejnej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przekraczać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</w:p>
          <w:p w14:paraId="41909215" w14:textId="77777777" w:rsidR="00D63865" w:rsidRPr="002A05BA" w:rsidRDefault="00D63865" w:rsidP="005E294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4112C2" w14:textId="77777777" w:rsidR="00606E24" w:rsidRPr="002A05BA" w:rsidRDefault="0025457E" w:rsidP="005E294F">
            <w:pPr>
              <w:pStyle w:val="TableParagraph"/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A05BA">
              <w:rPr>
                <w:rFonts w:eastAsiaTheme="minorHAnsi"/>
                <w:sz w:val="20"/>
                <w:szCs w:val="20"/>
                <w:lang w:val="pl-PL"/>
              </w:rPr>
              <w:t>Szczegóły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dotyczące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sposobu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podawania,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ewentualnego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czasowego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wstrzymania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leczenia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oraz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ewentualnego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zmniejszania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dawki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leku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zgodnie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aktualną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Charakterystyką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Produktu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Leczniczego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odpowiedniego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leku.</w:t>
            </w:r>
          </w:p>
          <w:p w14:paraId="7579823A" w14:textId="77777777" w:rsidR="00802CCA" w:rsidRPr="002A05BA" w:rsidRDefault="00802CCA" w:rsidP="005E294F">
            <w:pPr>
              <w:pStyle w:val="TableParagraph"/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</w:p>
          <w:p w14:paraId="5185DE89" w14:textId="77777777" w:rsidR="00606E24" w:rsidRPr="002A05BA" w:rsidRDefault="00606E24" w:rsidP="005E294F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17B7042A" w14:textId="77777777" w:rsidR="001D167A" w:rsidRPr="002A05BA" w:rsidRDefault="00606E24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2ACE" w:rsidRPr="002A05B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14:paraId="6327834A" w14:textId="77777777" w:rsidR="001D167A" w:rsidRPr="002A05BA" w:rsidRDefault="001D167A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E4AB62" w14:textId="77777777" w:rsidR="001D167A" w:rsidRPr="002A05BA" w:rsidRDefault="007E124D" w:rsidP="005E294F">
            <w:pPr>
              <w:pStyle w:val="Akapitzlist"/>
              <w:numPr>
                <w:ilvl w:val="1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488FD852" w14:textId="77777777" w:rsidR="007E124D" w:rsidRPr="002A05BA" w:rsidRDefault="007E124D" w:rsidP="005E294F">
            <w:pPr>
              <w:pStyle w:val="TableParagraph"/>
              <w:spacing w:after="60" w:line="276" w:lineRule="auto"/>
              <w:ind w:right="108"/>
              <w:jc w:val="both"/>
              <w:rPr>
                <w:sz w:val="20"/>
                <w:szCs w:val="20"/>
                <w:lang w:val="pl-PL"/>
              </w:rPr>
            </w:pPr>
            <w:r w:rsidRPr="002A05BA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maksymalna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pembrolizumabu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osób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dorosłych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to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200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co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3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tygodnie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lub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400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co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6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tygodni,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podawana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we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wlewie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dożylnym.</w:t>
            </w:r>
          </w:p>
          <w:p w14:paraId="516A963C" w14:textId="77777777" w:rsidR="007E124D" w:rsidRPr="002A05BA" w:rsidRDefault="007E124D" w:rsidP="005E294F">
            <w:pPr>
              <w:pStyle w:val="TableParagraph"/>
              <w:spacing w:after="60" w:line="276" w:lineRule="auto"/>
              <w:ind w:right="108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A05BA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maksymalna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dobowa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A05BA">
              <w:rPr>
                <w:rFonts w:eastAsiaTheme="minorHAnsi"/>
                <w:sz w:val="20"/>
                <w:szCs w:val="20"/>
                <w:lang w:val="pl-PL"/>
              </w:rPr>
              <w:t>talazoparybu</w:t>
            </w:r>
            <w:proofErr w:type="spellEnd"/>
            <w:r w:rsidRPr="002A05BA">
              <w:rPr>
                <w:rFonts w:eastAsiaTheme="minorHAnsi"/>
                <w:sz w:val="20"/>
                <w:szCs w:val="20"/>
                <w:lang w:val="pl-PL"/>
              </w:rPr>
              <w:t>: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1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/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dobę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(codziennie).</w:t>
            </w:r>
          </w:p>
          <w:p w14:paraId="01124A7A" w14:textId="77777777" w:rsidR="00F1705D" w:rsidRPr="002A05BA" w:rsidRDefault="0017268F" w:rsidP="005E294F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Zalecana maksymalna dobowa dawka </w:t>
            </w:r>
            <w:r w:rsidR="0063355B" w:rsidRPr="002A05BA">
              <w:rPr>
                <w:rFonts w:ascii="Times New Roman" w:hAnsi="Times New Roman"/>
                <w:sz w:val="20"/>
                <w:szCs w:val="20"/>
              </w:rPr>
              <w:t>olaparybu</w:t>
            </w:r>
            <w:r w:rsidRPr="002A05BA">
              <w:rPr>
                <w:rFonts w:ascii="Times New Roman" w:hAnsi="Times New Roman"/>
                <w:sz w:val="20"/>
                <w:szCs w:val="20"/>
              </w:rPr>
              <w:t xml:space="preserve">:  600 mg/dobę (codziennie). </w:t>
            </w:r>
          </w:p>
          <w:p w14:paraId="35BFD328" w14:textId="77777777" w:rsidR="007E124D" w:rsidRPr="002A05BA" w:rsidRDefault="007E124D" w:rsidP="005E294F">
            <w:pPr>
              <w:pStyle w:val="TableParagraph"/>
              <w:spacing w:after="60" w:line="276" w:lineRule="auto"/>
              <w:ind w:right="108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A05BA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maksymalna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A05BA">
              <w:rPr>
                <w:rFonts w:eastAsiaTheme="minorHAnsi"/>
                <w:sz w:val="20"/>
                <w:szCs w:val="20"/>
                <w:lang w:val="pl-PL"/>
              </w:rPr>
              <w:t>sacytuzumabu</w:t>
            </w:r>
            <w:proofErr w:type="spellEnd"/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A05BA">
              <w:rPr>
                <w:rFonts w:eastAsiaTheme="minorHAnsi"/>
                <w:sz w:val="20"/>
                <w:szCs w:val="20"/>
                <w:lang w:val="pl-PL"/>
              </w:rPr>
              <w:t>gowitekanu</w:t>
            </w:r>
            <w:proofErr w:type="spellEnd"/>
            <w:r w:rsidRPr="002A05BA">
              <w:rPr>
                <w:rFonts w:eastAsiaTheme="minorHAnsi"/>
                <w:sz w:val="20"/>
                <w:szCs w:val="20"/>
                <w:lang w:val="pl-PL"/>
              </w:rPr>
              <w:t>: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10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mg/kg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mc.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(podawana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1.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i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8.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dniu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każdego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21-dniowego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cyklu).</w:t>
            </w:r>
          </w:p>
          <w:p w14:paraId="1B147F26" w14:textId="77777777" w:rsidR="00802CCA" w:rsidRPr="002A05BA" w:rsidRDefault="00802CCA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5E9D08" w14:textId="77777777" w:rsidR="007E124D" w:rsidRPr="002A05BA" w:rsidRDefault="007E124D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Szczegóły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dotyczące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wstrzymania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zmniejszania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odpowiedniego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leku.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BB4001" w14:textId="77777777" w:rsidR="001D167A" w:rsidRPr="002A05BA" w:rsidRDefault="001D167A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934932" w14:textId="77777777" w:rsidR="007E124D" w:rsidRPr="002A05BA" w:rsidRDefault="007E124D" w:rsidP="005E294F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39A5FC95" w14:textId="5F065F6A" w:rsidR="007E124D" w:rsidRPr="005E294F" w:rsidRDefault="007E124D" w:rsidP="005E294F">
            <w:pPr>
              <w:pStyle w:val="TableParagraph"/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A05BA">
              <w:rPr>
                <w:rFonts w:eastAsiaTheme="minorHAnsi"/>
                <w:sz w:val="20"/>
                <w:szCs w:val="20"/>
                <w:lang w:val="pl-PL"/>
              </w:rPr>
              <w:t>Leczenie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trwa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do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czasu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podjęcia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przez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lekarza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prowadzącego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decyzji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wyłączeniu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świadczeniobiorcy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programu,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zgodnie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kryteriami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wyłączenia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programu,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których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mowa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ust</w:t>
            </w:r>
            <w:r w:rsidR="00D92ACE" w:rsidRPr="002A05BA">
              <w:rPr>
                <w:rFonts w:eastAsiaTheme="minorHAnsi"/>
                <w:sz w:val="20"/>
                <w:szCs w:val="20"/>
                <w:lang w:val="pl-PL"/>
              </w:rPr>
              <w:t>. 3.</w:t>
            </w:r>
          </w:p>
          <w:p w14:paraId="2FD7B4F3" w14:textId="77777777" w:rsidR="00DA1041" w:rsidRPr="002A05BA" w:rsidRDefault="00DA104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0" w:type="dxa"/>
            <w:gridSpan w:val="2"/>
          </w:tcPr>
          <w:p w14:paraId="0145996F" w14:textId="77777777" w:rsidR="00F1705D" w:rsidRPr="002A05BA" w:rsidRDefault="00AD083C" w:rsidP="00CD673C">
            <w:pPr>
              <w:pStyle w:val="Akapitzlist"/>
              <w:numPr>
                <w:ilvl w:val="0"/>
                <w:numId w:val="15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 wczesnego raka piersi</w:t>
            </w:r>
          </w:p>
          <w:p w14:paraId="661BF1EB" w14:textId="77777777" w:rsidR="00F1705D" w:rsidRPr="002A05BA" w:rsidRDefault="00E302B5" w:rsidP="005E294F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wczesnego,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591C9FDC" w14:textId="77777777" w:rsidR="00F1705D" w:rsidRPr="002A05BA" w:rsidRDefault="00E302B5" w:rsidP="005E294F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badań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3A2D97E9" w14:textId="77777777" w:rsidR="00E302B5" w:rsidRPr="002A05BA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(ISH)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2A05BA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nadekspresj</w:t>
            </w:r>
            <w:r w:rsidR="009518FB" w:rsidRPr="002A05BA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2A05BA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2298916" w14:textId="77777777" w:rsidR="00E302B5" w:rsidRPr="002A05BA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E7CB064" w14:textId="77777777" w:rsidR="00E302B5" w:rsidRPr="002A05BA" w:rsidRDefault="005226C0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087A3ED" w14:textId="77777777" w:rsidR="00E302B5" w:rsidRPr="002A05BA" w:rsidRDefault="005226C0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EA8A366" w14:textId="77777777" w:rsidR="00E302B5" w:rsidRPr="002A05BA" w:rsidRDefault="005226C0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69153E6" w14:textId="77777777" w:rsidR="00E302B5" w:rsidRPr="002A05BA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04C8237" w14:textId="77777777" w:rsidR="00E302B5" w:rsidRPr="002A05BA" w:rsidRDefault="00FF3AEA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22C1B6D" w14:textId="77777777" w:rsidR="00E302B5" w:rsidRPr="002A05BA" w:rsidRDefault="00FF3AEA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124D4DA" w14:textId="77777777" w:rsidR="00E302B5" w:rsidRPr="002A05BA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D069681" w14:textId="77777777" w:rsidR="00E302B5" w:rsidRPr="002A05BA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mammografia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sytuacjach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zamiennie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2A05BA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leczeniem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0C8A0B7" w14:textId="77777777" w:rsidR="006115AE" w:rsidRPr="002A05BA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BCA5BC1" w14:textId="77777777" w:rsidR="00CA2A5C" w:rsidRPr="002A05BA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D2EDBB2" w14:textId="77777777" w:rsidR="00CD3DB8" w:rsidRPr="002A05BA" w:rsidRDefault="00CD3DB8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współistniejącymi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istotnymi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schorzeniami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F2763F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AF1AC0" w14:textId="77777777" w:rsidR="00F2763F" w:rsidRPr="002A05BA" w:rsidRDefault="00F2763F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A1FE7B" w14:textId="77777777" w:rsidR="00F1705D" w:rsidRPr="002A05BA" w:rsidRDefault="00E302B5" w:rsidP="00FB6963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7AACA081" w14:textId="77777777" w:rsidR="00E302B5" w:rsidRPr="002A05BA" w:rsidRDefault="00AE65B9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E4FDF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B965D63" w14:textId="77777777" w:rsidR="00E302B5" w:rsidRPr="002A05BA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04A6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A04A6"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A04A6" w:rsidRPr="002A05BA">
              <w:rPr>
                <w:rFonts w:ascii="Times New Roman" w:hAnsi="Times New Roman" w:cs="Times New Roman"/>
                <w:sz w:val="20"/>
                <w:szCs w:val="20"/>
              </w:rPr>
              <w:t>emtanzyny</w:t>
            </w:r>
            <w:proofErr w:type="spellEnd"/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28987CA" w14:textId="77777777" w:rsidR="00E302B5" w:rsidRPr="002A05BA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12B2EA4" w14:textId="77777777" w:rsidR="00E302B5" w:rsidRPr="002A05BA" w:rsidRDefault="00BF0632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orfologia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podawanym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wykonać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proofErr w:type="spellEnd"/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kreatyniny,</w:t>
            </w:r>
          </w:p>
          <w:p w14:paraId="00A936C1" w14:textId="77777777" w:rsidR="00E302B5" w:rsidRPr="002A05BA" w:rsidRDefault="005226C0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6A6302D" w14:textId="77777777" w:rsidR="00E302B5" w:rsidRPr="002A05BA" w:rsidRDefault="005226C0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09312AD" w14:textId="77777777" w:rsidR="009E4FDF" w:rsidRPr="002A05BA" w:rsidRDefault="00E302B5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40649F" w14:textId="77777777" w:rsidR="00E302B5" w:rsidRPr="002A05BA" w:rsidRDefault="00AE65B9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02AA" w:rsidRPr="002A05BA">
              <w:rPr>
                <w:rFonts w:ascii="Times New Roman" w:hAnsi="Times New Roman" w:cs="Times New Roman"/>
                <w:sz w:val="20"/>
                <w:szCs w:val="20"/>
              </w:rPr>
              <w:t>co 3 miesiące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260DF36" w14:textId="77777777" w:rsidR="00E302B5" w:rsidRPr="002A05BA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USG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przedoperacyjnie)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syt</w:t>
            </w:r>
            <w:r w:rsidR="00FF3AEA" w:rsidRPr="002A05BA">
              <w:rPr>
                <w:rFonts w:ascii="Times New Roman" w:hAnsi="Times New Roman" w:cs="Times New Roman"/>
                <w:sz w:val="20"/>
                <w:szCs w:val="20"/>
              </w:rPr>
              <w:t>uacjach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2A05BA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2A05BA">
              <w:rPr>
                <w:rFonts w:ascii="Times New Roman" w:hAnsi="Times New Roman" w:cs="Times New Roman"/>
                <w:sz w:val="20"/>
                <w:szCs w:val="20"/>
              </w:rPr>
              <w:t>zamiennie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2A05BA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2A05BA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2A05BA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2A05BA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zastosować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samą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metodę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wyjściowo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leczeniem)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95FDDFB" w14:textId="77777777" w:rsidR="00E302B5" w:rsidRPr="002A05BA" w:rsidRDefault="00E302B5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Dobór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umożliwić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leczenie.</w:t>
            </w:r>
          </w:p>
          <w:p w14:paraId="5DD3A4F9" w14:textId="77777777" w:rsidR="00E302B5" w:rsidRPr="002A05BA" w:rsidRDefault="00AE65B9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trzecim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szóstym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miesiącu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(4-6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ostatniej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dawki):</w:t>
            </w:r>
          </w:p>
          <w:p w14:paraId="1B6CC68A" w14:textId="77777777" w:rsidR="00E302B5" w:rsidRPr="002A05BA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7096D0E" w14:textId="77777777" w:rsidR="00E302B5" w:rsidRPr="002A05BA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ECHO.</w:t>
            </w:r>
          </w:p>
          <w:p w14:paraId="7FA99284" w14:textId="77777777" w:rsidR="009E4FDF" w:rsidRPr="002A05BA" w:rsidRDefault="009E4FDF" w:rsidP="005E294F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6BC123" w14:textId="77777777" w:rsidR="00D25DD4" w:rsidRPr="005E294F" w:rsidRDefault="00D25DD4" w:rsidP="005E294F">
            <w:pPr>
              <w:numPr>
                <w:ilvl w:val="1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wczesnego HR-dodatniego, HER2-ujemnego raka piersi</w:t>
            </w:r>
          </w:p>
          <w:p w14:paraId="4DDD5BEB" w14:textId="77777777" w:rsidR="00D25DD4" w:rsidRPr="005E294F" w:rsidRDefault="00D25DD4" w:rsidP="005E294F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 badań przy kwalifikacji</w:t>
            </w:r>
          </w:p>
          <w:p w14:paraId="401C181E" w14:textId="77777777" w:rsidR="00D25DD4" w:rsidRPr="005E294F" w:rsidRDefault="00D25DD4" w:rsidP="005E294F">
            <w:pPr>
              <w:numPr>
                <w:ilvl w:val="4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badanie immunohistochemiczne lub hybrydyzacji in situ oceniające ekspresję HER2 i receptorów ER, PGR (możliwe wykorzystanie badania wykonanego wcześniej);</w:t>
            </w:r>
          </w:p>
          <w:p w14:paraId="10D61742" w14:textId="77777777" w:rsidR="00D25DD4" w:rsidRPr="005E294F" w:rsidRDefault="00D25DD4" w:rsidP="005E294F">
            <w:pPr>
              <w:numPr>
                <w:ilvl w:val="4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morfologia krwi z rozmazem,</w:t>
            </w:r>
          </w:p>
          <w:p w14:paraId="00470916" w14:textId="77777777" w:rsidR="00D25DD4" w:rsidRPr="005E294F" w:rsidRDefault="00D25DD4" w:rsidP="005E294F">
            <w:pPr>
              <w:numPr>
                <w:ilvl w:val="4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stężenie kreatyniny,</w:t>
            </w:r>
          </w:p>
          <w:p w14:paraId="403436C2" w14:textId="77777777" w:rsidR="00D25DD4" w:rsidRPr="005E294F" w:rsidRDefault="00D25DD4" w:rsidP="005E294F">
            <w:pPr>
              <w:numPr>
                <w:ilvl w:val="4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E2578EF" w14:textId="77777777" w:rsidR="00D25DD4" w:rsidRPr="005E294F" w:rsidRDefault="00D25DD4" w:rsidP="005E294F">
            <w:pPr>
              <w:numPr>
                <w:ilvl w:val="4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E9D437C" w14:textId="77777777" w:rsidR="00D25DD4" w:rsidRPr="005E294F" w:rsidRDefault="00D25DD4" w:rsidP="005E294F">
            <w:pPr>
              <w:numPr>
                <w:ilvl w:val="4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stężenie bilirubiny,</w:t>
            </w:r>
          </w:p>
          <w:p w14:paraId="2232E402" w14:textId="77777777" w:rsidR="00D25DD4" w:rsidRPr="005E294F" w:rsidRDefault="00D25DD4" w:rsidP="005E294F">
            <w:pPr>
              <w:numPr>
                <w:ilvl w:val="4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 estradiolu, FSH i LH u chorych z brakiem miesiączki indukowanym chemioterapią oraz u chorych w okresie przed i okołomenopauzalnym.</w:t>
            </w:r>
          </w:p>
          <w:p w14:paraId="1561F33A" w14:textId="0EFA5876" w:rsidR="00D25DD4" w:rsidRPr="005E294F" w:rsidRDefault="00D25DD4" w:rsidP="005E294F">
            <w:pPr>
              <w:numPr>
                <w:ilvl w:val="4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RTG lub tomografia komputerowa klatki piersiowej w celu wykluczenia przerzutów odległych</w:t>
            </w:r>
          </w:p>
          <w:p w14:paraId="69BCAB05" w14:textId="77777777" w:rsidR="00D25DD4" w:rsidRPr="005E294F" w:rsidRDefault="00D25DD4" w:rsidP="005E294F">
            <w:pPr>
              <w:numPr>
                <w:ilvl w:val="4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USG jamy brzusznej lub tomografia komputerowa jamy brzusznej lub tomografia komputerowa jamy brzusznej i miednicy lub MR w celu wykluczenia przerzutów odległych</w:t>
            </w:r>
          </w:p>
          <w:p w14:paraId="05F9CC71" w14:textId="77777777" w:rsidR="00D25DD4" w:rsidRPr="005E294F" w:rsidRDefault="00D25DD4" w:rsidP="005E294F">
            <w:pPr>
              <w:numPr>
                <w:ilvl w:val="4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scyntygrafia kośćca (wykonanie badania w zależności od oceny sytuacji klinicznej) w celu wykluczenia przerzutów odległych</w:t>
            </w:r>
          </w:p>
          <w:p w14:paraId="5B24B48F" w14:textId="77777777" w:rsidR="00D25DD4" w:rsidRPr="005E294F" w:rsidRDefault="00D25DD4" w:rsidP="005E294F">
            <w:pPr>
              <w:numPr>
                <w:ilvl w:val="4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inne badania laboratoryjne i obrazowe w razie wskazań klinicznych.</w:t>
            </w:r>
          </w:p>
          <w:p w14:paraId="2A2FC3EB" w14:textId="77777777" w:rsidR="00D25DD4" w:rsidRPr="005E294F" w:rsidRDefault="00D25DD4" w:rsidP="005E294F">
            <w:pPr>
              <w:spacing w:after="60" w:line="276" w:lineRule="auto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7BCC6A" w14:textId="77777777" w:rsidR="00D25DD4" w:rsidRPr="005E294F" w:rsidRDefault="00D25DD4" w:rsidP="005E294F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Pr="005E29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leczenia</w:t>
            </w:r>
          </w:p>
          <w:p w14:paraId="795DC144" w14:textId="77777777" w:rsidR="00D25DD4" w:rsidRPr="005E294F" w:rsidRDefault="00D25DD4" w:rsidP="005E294F">
            <w:pPr>
              <w:numPr>
                <w:ilvl w:val="3"/>
                <w:numId w:val="1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bCs/>
                <w:sz w:val="20"/>
                <w:szCs w:val="20"/>
              </w:rPr>
              <w:t>badania laboratoryjne:</w:t>
            </w:r>
          </w:p>
          <w:p w14:paraId="1CCC47D7" w14:textId="77777777" w:rsidR="00D25DD4" w:rsidRPr="005E294F" w:rsidRDefault="00D25DD4" w:rsidP="005E294F">
            <w:pPr>
              <w:numPr>
                <w:ilvl w:val="4"/>
                <w:numId w:val="16"/>
              </w:numPr>
              <w:spacing w:after="60" w:line="276" w:lineRule="auto"/>
              <w:ind w:left="6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14:paraId="63ECB994" w14:textId="77777777" w:rsidR="00D25DD4" w:rsidRPr="005E294F" w:rsidRDefault="00D25DD4" w:rsidP="005E294F">
            <w:pPr>
              <w:numPr>
                <w:ilvl w:val="4"/>
                <w:numId w:val="16"/>
              </w:numPr>
              <w:spacing w:after="60" w:line="276" w:lineRule="auto"/>
              <w:ind w:left="6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stężenie kreatyniny;</w:t>
            </w:r>
          </w:p>
          <w:p w14:paraId="0B983EA2" w14:textId="77777777" w:rsidR="00D25DD4" w:rsidRPr="005E294F" w:rsidRDefault="00D25DD4" w:rsidP="005E294F">
            <w:pPr>
              <w:numPr>
                <w:ilvl w:val="4"/>
                <w:numId w:val="16"/>
              </w:numPr>
              <w:spacing w:after="60" w:line="276" w:lineRule="auto"/>
              <w:ind w:left="6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AA7747D" w14:textId="77777777" w:rsidR="00D25DD4" w:rsidRPr="005E294F" w:rsidRDefault="00D25DD4" w:rsidP="005E294F">
            <w:pPr>
              <w:numPr>
                <w:ilvl w:val="4"/>
                <w:numId w:val="16"/>
              </w:numPr>
              <w:spacing w:after="60" w:line="276" w:lineRule="auto"/>
              <w:ind w:left="6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aktywności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52CBC9F" w14:textId="77777777" w:rsidR="00D25DD4" w:rsidRPr="005E294F" w:rsidRDefault="00D25DD4" w:rsidP="005E294F">
            <w:pPr>
              <w:numPr>
                <w:ilvl w:val="4"/>
                <w:numId w:val="16"/>
              </w:numPr>
              <w:spacing w:after="60" w:line="276" w:lineRule="auto"/>
              <w:ind w:left="652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stężenie bilirubiny.</w:t>
            </w:r>
          </w:p>
          <w:p w14:paraId="104CF81B" w14:textId="77777777" w:rsidR="00D25DD4" w:rsidRPr="005E294F" w:rsidRDefault="00D25DD4" w:rsidP="005E294F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bCs/>
                <w:sz w:val="20"/>
                <w:szCs w:val="20"/>
              </w:rPr>
              <w:t>Badania wykonuje się:</w:t>
            </w:r>
          </w:p>
          <w:p w14:paraId="73D6DD33" w14:textId="77777777" w:rsidR="00D25DD4" w:rsidRPr="005E294F" w:rsidRDefault="00D25DD4" w:rsidP="005E294F">
            <w:pPr>
              <w:numPr>
                <w:ilvl w:val="0"/>
                <w:numId w:val="33"/>
              </w:numPr>
              <w:spacing w:after="60" w:line="276" w:lineRule="auto"/>
              <w:ind w:left="794" w:hanging="22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co 2 tygodnie w trakcie 2 pierwszych cykli leczenia, na początku kolejnych 2 cykli, a </w:t>
            </w:r>
            <w:r w:rsidRPr="005E294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następnie w zależności od wskazań klinicznych.</w:t>
            </w:r>
          </w:p>
          <w:p w14:paraId="14F0F2FA" w14:textId="77777777" w:rsidR="00D25DD4" w:rsidRPr="005E294F" w:rsidRDefault="00D25DD4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A627A0" w14:textId="77777777" w:rsidR="00D25DD4" w:rsidRPr="005E294F" w:rsidRDefault="00D25DD4" w:rsidP="005E294F">
            <w:pPr>
              <w:numPr>
                <w:ilvl w:val="3"/>
                <w:numId w:val="1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bCs/>
                <w:sz w:val="20"/>
                <w:szCs w:val="20"/>
              </w:rPr>
              <w:t>badania obrazowe:</w:t>
            </w:r>
          </w:p>
          <w:p w14:paraId="534B17EA" w14:textId="77777777" w:rsidR="00D25DD4" w:rsidRPr="005E294F" w:rsidRDefault="00D25DD4" w:rsidP="005E294F">
            <w:pPr>
              <w:numPr>
                <w:ilvl w:val="4"/>
                <w:numId w:val="16"/>
              </w:numPr>
              <w:spacing w:after="60" w:line="276" w:lineRule="auto"/>
              <w:ind w:left="681" w:hanging="22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bCs/>
                <w:sz w:val="20"/>
                <w:szCs w:val="20"/>
              </w:rPr>
              <w:t>mammografia, w razie potrzeby uzupełniona o USG piersi lub MR.</w:t>
            </w:r>
          </w:p>
          <w:p w14:paraId="02E15057" w14:textId="77777777" w:rsidR="00D25DD4" w:rsidRPr="005E294F" w:rsidRDefault="00D25DD4" w:rsidP="005E294F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bCs/>
                <w:sz w:val="20"/>
                <w:szCs w:val="20"/>
              </w:rPr>
              <w:t>Badania wykonuje się:</w:t>
            </w:r>
          </w:p>
          <w:p w14:paraId="51096B71" w14:textId="243A58F2" w:rsidR="00D25DD4" w:rsidRPr="005E294F" w:rsidRDefault="00D25DD4" w:rsidP="005E294F">
            <w:pPr>
              <w:numPr>
                <w:ilvl w:val="0"/>
                <w:numId w:val="33"/>
              </w:numPr>
              <w:spacing w:after="60" w:line="276" w:lineRule="auto"/>
              <w:ind w:left="794" w:hanging="22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bCs/>
                <w:sz w:val="20"/>
                <w:szCs w:val="20"/>
              </w:rPr>
              <w:t>nie rzadziej niż co 12 miesięcy.</w:t>
            </w:r>
          </w:p>
          <w:p w14:paraId="69883065" w14:textId="77777777" w:rsidR="00A80C64" w:rsidRPr="005E294F" w:rsidRDefault="00A80C64" w:rsidP="005E294F">
            <w:pPr>
              <w:spacing w:after="60" w:line="276" w:lineRule="auto"/>
              <w:ind w:left="79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766C964" w14:textId="5DD50ABA" w:rsidR="00F1705D" w:rsidRPr="002A05BA" w:rsidRDefault="0063355B" w:rsidP="005E294F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Leczenie wczesnego, </w:t>
            </w:r>
            <w:r w:rsidR="00AD083C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HER2-ujemnego i potrójnie ujemnego raka piersi z obecnością mutacji w genach BRCA</w:t>
            </w:r>
          </w:p>
          <w:p w14:paraId="2D48C97C" w14:textId="77777777" w:rsidR="00F1705D" w:rsidRPr="002A05BA" w:rsidRDefault="00AD083C" w:rsidP="005E294F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 badań przy kwalifikacji</w:t>
            </w:r>
          </w:p>
          <w:p w14:paraId="5C6670D0" w14:textId="77777777" w:rsidR="00F1705D" w:rsidRPr="002A05BA" w:rsidRDefault="00FB6963" w:rsidP="005E294F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potwierdzenie obecności</w:t>
            </w:r>
            <w:r w:rsidR="00AD083C" w:rsidRPr="002A05BA">
              <w:rPr>
                <w:rFonts w:ascii="Times New Roman" w:hAnsi="Times New Roman"/>
                <w:sz w:val="20"/>
                <w:szCs w:val="20"/>
              </w:rPr>
              <w:t xml:space="preserve"> mutacji </w:t>
            </w:r>
            <w:proofErr w:type="spellStart"/>
            <w:r w:rsidR="00AD083C" w:rsidRPr="002A05BA">
              <w:rPr>
                <w:rFonts w:ascii="Times New Roman" w:hAnsi="Times New Roman"/>
                <w:sz w:val="20"/>
                <w:szCs w:val="20"/>
              </w:rPr>
              <w:t>germinalnej</w:t>
            </w:r>
            <w:proofErr w:type="spellEnd"/>
            <w:r w:rsidR="00AD083C" w:rsidRPr="002A05BA">
              <w:rPr>
                <w:rFonts w:ascii="Times New Roman" w:hAnsi="Times New Roman"/>
                <w:sz w:val="20"/>
                <w:szCs w:val="20"/>
              </w:rPr>
              <w:t xml:space="preserve"> BRCA1/2 (możliwe wykorzystanie badania wykonanego wcześniej)</w:t>
            </w:r>
            <w:r w:rsidR="009A38F5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102C270" w14:textId="77777777" w:rsidR="00F1705D" w:rsidRPr="002A05BA" w:rsidRDefault="00AD083C" w:rsidP="005E294F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 xml:space="preserve">potwierdzenie </w:t>
            </w:r>
            <w:r w:rsidR="00FB6963" w:rsidRPr="002A05BA">
              <w:rPr>
                <w:rFonts w:ascii="Times New Roman" w:hAnsi="Times New Roman"/>
                <w:sz w:val="20"/>
                <w:szCs w:val="20"/>
              </w:rPr>
              <w:t>braku ekspresji receptora HER2 i określenie stanu steroidowych receptorów hormonalnych</w:t>
            </w:r>
            <w:r w:rsidR="009A38F5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1EA2B96" w14:textId="77777777" w:rsidR="00F1705D" w:rsidRPr="002A05BA" w:rsidRDefault="00AD083C" w:rsidP="005E294F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morfologia krwi z rozmazem</w:t>
            </w:r>
            <w:r w:rsidR="009A38F5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F96FEB8" w14:textId="77777777" w:rsidR="00F1705D" w:rsidRPr="002A05BA" w:rsidRDefault="00AD083C" w:rsidP="005E294F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stężenie kreatyniny</w:t>
            </w:r>
            <w:r w:rsidR="009A38F5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EB6C1E4" w14:textId="77777777" w:rsidR="00F1705D" w:rsidRPr="002A05BA" w:rsidRDefault="00AD083C" w:rsidP="005E294F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stężenie bilirubiny</w:t>
            </w:r>
            <w:r w:rsidR="009A38F5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4393AFD" w14:textId="77777777" w:rsidR="00F1705D" w:rsidRPr="002A05BA" w:rsidRDefault="00AD083C" w:rsidP="005E294F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 xml:space="preserve">aktywność </w:t>
            </w:r>
            <w:proofErr w:type="spellStart"/>
            <w:r w:rsidRPr="002A05BA">
              <w:rPr>
                <w:rFonts w:ascii="Times New Roman" w:hAnsi="Times New Roman"/>
                <w:sz w:val="20"/>
                <w:szCs w:val="20"/>
              </w:rPr>
              <w:t>AlAT</w:t>
            </w:r>
            <w:proofErr w:type="spellEnd"/>
            <w:r w:rsidR="009A38F5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2990328" w14:textId="77777777" w:rsidR="00F1705D" w:rsidRPr="002A05BA" w:rsidRDefault="00AD083C" w:rsidP="005E294F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 xml:space="preserve">aktywność </w:t>
            </w:r>
            <w:proofErr w:type="spellStart"/>
            <w:r w:rsidRPr="002A05BA">
              <w:rPr>
                <w:rFonts w:ascii="Times New Roman" w:hAnsi="Times New Roman"/>
                <w:sz w:val="20"/>
                <w:szCs w:val="20"/>
              </w:rPr>
              <w:t>AspAT</w:t>
            </w:r>
            <w:proofErr w:type="spellEnd"/>
            <w:r w:rsidR="009A38F5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31AEA20" w14:textId="77777777" w:rsidR="00F1705D" w:rsidRPr="002A05BA" w:rsidRDefault="0063355B" w:rsidP="005E294F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USG lub tomografia komputerowa jamy brzusznej lub tomografia komputerowa jamy brzusznej i miednicy</w:t>
            </w:r>
            <w:r w:rsidR="00444000" w:rsidRPr="002A05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000" w:rsidRPr="002A05BA">
              <w:rPr>
                <w:rFonts w:ascii="Times New Roman" w:hAnsi="Times New Roman" w:cs="Times New Roman"/>
                <w:sz w:val="20"/>
                <w:szCs w:val="20"/>
              </w:rPr>
              <w:t>(wykonanie badania w zależności od oceny sytuacji klinicznej)</w:t>
            </w:r>
            <w:r w:rsidR="009A38F5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A94AA3C" w14:textId="77777777" w:rsidR="00F1705D" w:rsidRPr="002A05BA" w:rsidRDefault="00AD083C" w:rsidP="005E294F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lastRenderedPageBreak/>
              <w:t>RTG lub tomografia komputerowa klatki piersiowej</w:t>
            </w:r>
            <w:r w:rsidR="00444000" w:rsidRPr="002A05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000" w:rsidRPr="002A05BA">
              <w:rPr>
                <w:rFonts w:ascii="Times New Roman" w:hAnsi="Times New Roman" w:cs="Times New Roman"/>
                <w:sz w:val="20"/>
                <w:szCs w:val="20"/>
              </w:rPr>
              <w:t>(wykonanie badania w zależności od oceny sytuacji klinicznej)</w:t>
            </w:r>
            <w:r w:rsidR="009A38F5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453AD1E" w14:textId="77777777" w:rsidR="00F1705D" w:rsidRPr="002A05BA" w:rsidRDefault="00AD083C" w:rsidP="005E294F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scyntygrafia kośćca</w:t>
            </w:r>
            <w:r w:rsidR="00444000" w:rsidRPr="002A05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000" w:rsidRPr="002A05BA">
              <w:rPr>
                <w:rFonts w:ascii="Times New Roman" w:hAnsi="Times New Roman" w:cs="Times New Roman"/>
                <w:sz w:val="20"/>
                <w:szCs w:val="20"/>
              </w:rPr>
              <w:t>(wykonanie badania w zależności od oceny sytuacji klinicznej)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9253243" w14:textId="77777777" w:rsidR="00F1705D" w:rsidRPr="002A05BA" w:rsidRDefault="00444000" w:rsidP="005E294F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inne badania w razie wskazań klinicznych.</w:t>
            </w:r>
          </w:p>
          <w:p w14:paraId="0306106E" w14:textId="77777777" w:rsidR="00F1705D" w:rsidRPr="002A05BA" w:rsidRDefault="00F1705D" w:rsidP="005E294F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AB10881" w14:textId="77777777" w:rsidR="00F1705D" w:rsidRPr="002A05BA" w:rsidRDefault="00B620BA" w:rsidP="005E294F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leczenia</w:t>
            </w:r>
          </w:p>
          <w:p w14:paraId="14A00DB7" w14:textId="77777777" w:rsidR="00F1705D" w:rsidRPr="002A05BA" w:rsidRDefault="0063355B" w:rsidP="005E294F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morfologia krwi z rozmazem</w:t>
            </w:r>
            <w:r w:rsidR="009A38F5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B3AEF95" w14:textId="77777777" w:rsidR="00F1705D" w:rsidRPr="002A05BA" w:rsidRDefault="0063355B" w:rsidP="005E294F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oznaczenie stężenia w surowicy:</w:t>
            </w:r>
          </w:p>
          <w:p w14:paraId="7F06199E" w14:textId="77777777" w:rsidR="00F1705D" w:rsidRPr="002A05BA" w:rsidRDefault="0063355B" w:rsidP="005E294F">
            <w:pPr>
              <w:pStyle w:val="Akapitzlist"/>
              <w:numPr>
                <w:ilvl w:val="5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kreatyniny,</w:t>
            </w:r>
          </w:p>
          <w:p w14:paraId="2811B138" w14:textId="77777777" w:rsidR="00F1705D" w:rsidRPr="002A05BA" w:rsidRDefault="0063355B" w:rsidP="005E294F">
            <w:pPr>
              <w:pStyle w:val="Akapitzlist"/>
              <w:numPr>
                <w:ilvl w:val="5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9A38F5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9C87DB2" w14:textId="77777777" w:rsidR="00F1705D" w:rsidRPr="002A05BA" w:rsidRDefault="0063355B" w:rsidP="005E294F">
            <w:pPr>
              <w:pStyle w:val="Akapitzlist"/>
              <w:numPr>
                <w:ilvl w:val="5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oznaczenie aktywności transaminaz (</w:t>
            </w:r>
            <w:proofErr w:type="spellStart"/>
            <w:r w:rsidRPr="002A05BA">
              <w:rPr>
                <w:rFonts w:ascii="Times New Roman" w:hAnsi="Times New Roman"/>
                <w:sz w:val="20"/>
                <w:szCs w:val="20"/>
              </w:rPr>
              <w:t>AspAT</w:t>
            </w:r>
            <w:proofErr w:type="spellEnd"/>
            <w:r w:rsidRPr="002A05B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A05BA">
              <w:rPr>
                <w:rFonts w:ascii="Times New Roman" w:hAnsi="Times New Roman"/>
                <w:sz w:val="20"/>
                <w:szCs w:val="20"/>
              </w:rPr>
              <w:t>AlAT</w:t>
            </w:r>
            <w:proofErr w:type="spellEnd"/>
            <w:r w:rsidRPr="002A05BA">
              <w:rPr>
                <w:rFonts w:ascii="Times New Roman" w:hAnsi="Times New Roman"/>
                <w:sz w:val="20"/>
                <w:szCs w:val="20"/>
              </w:rPr>
              <w:t>)</w:t>
            </w:r>
            <w:r w:rsidR="009A38F5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B8AF307" w14:textId="77777777" w:rsidR="00F1705D" w:rsidRPr="002A05BA" w:rsidRDefault="0063355B" w:rsidP="005E294F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inne badania w razie wskazań klinicznych.</w:t>
            </w:r>
          </w:p>
          <w:p w14:paraId="0C9A1376" w14:textId="77777777" w:rsidR="00F1705D" w:rsidRPr="002A05BA" w:rsidRDefault="00F1705D" w:rsidP="005E294F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DE94706" w14:textId="77777777" w:rsidR="00F1705D" w:rsidRPr="002A05BA" w:rsidRDefault="0063355B" w:rsidP="005E294F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Badania wykonuje się przed rozpoczęciem każdego cyklu</w:t>
            </w:r>
            <w:r w:rsidR="00B620BA" w:rsidRPr="002A05BA">
              <w:rPr>
                <w:rFonts w:ascii="Times New Roman" w:hAnsi="Times New Roman"/>
                <w:sz w:val="20"/>
                <w:szCs w:val="20"/>
              </w:rPr>
              <w:t xml:space="preserve"> leczenia olaparybem.</w:t>
            </w:r>
          </w:p>
          <w:p w14:paraId="49566AA6" w14:textId="77777777" w:rsidR="00F1705D" w:rsidRPr="002A05BA" w:rsidRDefault="00F1705D" w:rsidP="005E294F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346485C" w14:textId="77777777" w:rsidR="00F1705D" w:rsidRPr="002A05BA" w:rsidRDefault="002129EB" w:rsidP="005E294F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okołooperacyjne wczesnego potrójnie ujemnego raka piersi</w:t>
            </w:r>
          </w:p>
          <w:p w14:paraId="0A52B409" w14:textId="77777777" w:rsidR="00F1705D" w:rsidRPr="002A05BA" w:rsidRDefault="002129EB" w:rsidP="005E294F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 badań przy kwalifikacji</w:t>
            </w:r>
          </w:p>
          <w:p w14:paraId="21D1831B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badanie immunohistochemiczne lub hybrydyzacji in situ oceniające ekspresję HER2 i receptorów ER, PGR (możliwe wykorzystanie badania wykonanego wcześniej)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D9F615F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6676D0D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stężenie kreatyniny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8CF6929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aktywność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80210C7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24A75B0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stężenie bilirubiny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D91C125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poziom TSH i fT4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BAB8AFA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RTG lub tomografia komputerowa klatki piersiowej (wykonane w ciągu ostatnich 8 tygodni)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EFF46D4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USG jamy brzusznej lub tomografia komputerowa jamy brzusznej lub tomografia komputerowa jamy brzusznej i miednicy lub MR, (wykonane w ciągu ostatnich 8 tygodni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24CFAB9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scyntygrafia kośćca (wykonanie badania w zależności od oceny sytuacji klinicznej)</w:t>
            </w:r>
            <w:r w:rsidR="00406170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E3B5E88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6A63A48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konsultacja kardiologiczna – jedynie w przypadku wskazań klinicznych dotyczących wydolności układu sercowo-naczyniowego lub nieprawidłowych wyników EKG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216C2D0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tomografia komputerowa lub rezonans magnetyczny mózgu (tylko gdy są wskazania kliniczne)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E3C5332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mammografia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B507065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USG piersi z oceną dołów pachowych,</w:t>
            </w:r>
          </w:p>
          <w:p w14:paraId="17F49442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inne badania obrazowe w razie wskazań klinicznych.</w:t>
            </w:r>
          </w:p>
          <w:p w14:paraId="1CE858FB" w14:textId="77777777" w:rsidR="002129EB" w:rsidRPr="002A05BA" w:rsidRDefault="002129EB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Wstępne badania obrazowe muszą umożliwić późniejszą obiektywną ocenę odpowiedzi na leczenie.</w:t>
            </w:r>
          </w:p>
          <w:p w14:paraId="18AA6715" w14:textId="77777777" w:rsidR="00F1705D" w:rsidRPr="002A05BA" w:rsidRDefault="002129EB" w:rsidP="005E294F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Monitorowanie leczenia</w:t>
            </w:r>
          </w:p>
          <w:p w14:paraId="5C41588F" w14:textId="77777777" w:rsidR="002129EB" w:rsidRPr="002A05BA" w:rsidRDefault="002129EB" w:rsidP="005E294F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badania laboratoryjne:</w:t>
            </w:r>
          </w:p>
          <w:p w14:paraId="51EF4E2C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96E139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stężenie kreatyniny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B4B2F7C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E69717A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aktywności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E332F76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stężenie bilirubiny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CB0890C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oznaczenie poziomu TSH i fT4 dotyczy jedynie leczenia pembrolizumabem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B8680A0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oznaczenie glikemii na czczo.</w:t>
            </w:r>
          </w:p>
          <w:p w14:paraId="72017036" w14:textId="77777777" w:rsidR="002129EB" w:rsidRPr="002A05BA" w:rsidRDefault="002129EB" w:rsidP="005E294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3AABA6" w14:textId="77777777" w:rsidR="002129EB" w:rsidRPr="002A05BA" w:rsidRDefault="002129EB" w:rsidP="005E294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Badania wykonuje się:</w:t>
            </w:r>
          </w:p>
          <w:p w14:paraId="31D7C5AA" w14:textId="77777777" w:rsidR="002129EB" w:rsidRPr="002A05BA" w:rsidRDefault="002129EB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 rzadziej niż co 3 tygodnie lub przed każdym cyklem chemioterapii w przypadku pembrolizumabu w leczeniu przedoperacyjnego (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neoadjuwantowego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– punkty a-e,</w:t>
            </w:r>
          </w:p>
          <w:p w14:paraId="3DC6D3BD" w14:textId="77777777" w:rsidR="002129EB" w:rsidRPr="002A05BA" w:rsidRDefault="002129EB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 rzadziej niż co 3 miesiące w przypadku leczenia przedoperacyjnego (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neoadjuwantowym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– punkty f-g,</w:t>
            </w:r>
          </w:p>
          <w:p w14:paraId="0FB5D05B" w14:textId="77777777" w:rsidR="002129EB" w:rsidRPr="002A05BA" w:rsidRDefault="002129EB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 rzadziej niż raz na 3 miesiące w przypadku leczenia pooperacyjnego (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adjuwantowego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– punkty a-g;</w:t>
            </w:r>
          </w:p>
          <w:p w14:paraId="4D06EC9A" w14:textId="77777777" w:rsidR="002129EB" w:rsidRPr="002A05BA" w:rsidRDefault="002129EB" w:rsidP="005E294F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badania obrazowe (wybór metody w zależności od wyjściowej metody obrazowej):</w:t>
            </w:r>
          </w:p>
          <w:p w14:paraId="1DAFBCF8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ECHO serca,</w:t>
            </w:r>
          </w:p>
          <w:p w14:paraId="79F13495" w14:textId="77777777" w:rsidR="002129EB" w:rsidRPr="002A05BA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USG piersi z dołami pachowymi.</w:t>
            </w:r>
          </w:p>
          <w:p w14:paraId="357B24B3" w14:textId="77777777" w:rsidR="002129EB" w:rsidRPr="002A05BA" w:rsidRDefault="002129EB" w:rsidP="005E294F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3BC882" w14:textId="77777777" w:rsidR="002129EB" w:rsidRPr="002A05BA" w:rsidRDefault="002129EB" w:rsidP="005E294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Badania wykonuje się:</w:t>
            </w:r>
          </w:p>
          <w:p w14:paraId="20880922" w14:textId="456C5997" w:rsidR="002129EB" w:rsidRPr="002A05BA" w:rsidRDefault="002129EB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Cs/>
                <w:sz w:val="20"/>
                <w:szCs w:val="20"/>
              </w:rPr>
              <w:t>nie rzadziej niż raz na 3 miesiące</w:t>
            </w:r>
            <w:r w:rsidR="003C02AA" w:rsidRPr="002A05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jedynie podczas leczenia przedoperacyjnego</w:t>
            </w:r>
            <w:r w:rsidR="008A153B" w:rsidRPr="002A05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Cs/>
                <w:sz w:val="20"/>
                <w:szCs w:val="20"/>
              </w:rPr>
              <w:t>(częściej, gdy są wskazania kliniczne)</w:t>
            </w:r>
            <w:r w:rsidR="009822D5" w:rsidRPr="002A05BA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2A05BA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</w:t>
            </w:r>
          </w:p>
          <w:p w14:paraId="1DD31207" w14:textId="77777777" w:rsidR="002129EB" w:rsidRPr="002A05BA" w:rsidRDefault="002129EB" w:rsidP="005E294F">
            <w:pPr>
              <w:pStyle w:val="Akapitzlist"/>
              <w:spacing w:after="60" w:line="276" w:lineRule="auto"/>
              <w:ind w:left="907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567649E" w14:textId="77777777" w:rsidR="002129EB" w:rsidRPr="002A05BA" w:rsidRDefault="002129EB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W celu monitorowania terapii i oceny odpowiedzi na leczenie, w uzasadnionych sytuacjach klinicznych, możliwe jest zamienne wykonanie tomografii komputerowej lub rezonansu magnetycznego piersi). </w:t>
            </w:r>
          </w:p>
          <w:p w14:paraId="2A8BE594" w14:textId="77777777" w:rsidR="002129EB" w:rsidRPr="002A05BA" w:rsidRDefault="002129EB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Określenie odpowiedzi na leczenie powinno być wykonywane z wykorzystaniem metody identycznej wykorzystanej podczas kwalifikowania do leczenia.</w:t>
            </w:r>
          </w:p>
          <w:p w14:paraId="53F332FC" w14:textId="77777777" w:rsidR="00F1705D" w:rsidRPr="002A05BA" w:rsidRDefault="00F1705D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F7CDAE" w14:textId="77777777" w:rsidR="003F5531" w:rsidRPr="005E294F" w:rsidRDefault="003F5531" w:rsidP="005E294F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" w:name="_Hlk184317729"/>
            <w:r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75A"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9775A"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miejscowo</w:t>
            </w:r>
            <w:r w:rsidR="008B04DB"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9775A"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zawansowanego</w:t>
            </w:r>
            <w:r w:rsidR="008B04DB"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449A67C6" w14:textId="77777777" w:rsidR="00127F97" w:rsidRPr="005E294F" w:rsidRDefault="00127F97" w:rsidP="005E294F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</w:t>
            </w:r>
            <w:r w:rsidR="008B04DB"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badań</w:t>
            </w:r>
            <w:r w:rsidR="008B04DB"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8B04DB"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bookmarkEnd w:id="2"/>
          <w:p w14:paraId="728BEF6B" w14:textId="77777777" w:rsidR="00127F97" w:rsidRPr="005E294F" w:rsidRDefault="00467BD1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D26ACB" w:rsidRPr="005E294F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6ACB" w:rsidRPr="005E294F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5E294F">
              <w:rPr>
                <w:rFonts w:ascii="Times New Roman" w:hAnsi="Times New Roman" w:cs="Times New Roman"/>
                <w:sz w:val="20"/>
                <w:szCs w:val="20"/>
              </w:rPr>
              <w:t>oceniające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ekspresję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ER,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D6CC990" w14:textId="77777777" w:rsidR="00E95954" w:rsidRPr="005E294F" w:rsidRDefault="00467BD1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95954" w:rsidRPr="005E294F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5E294F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5954" w:rsidRPr="005E294F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5E294F">
              <w:rPr>
                <w:rFonts w:ascii="Times New Roman" w:hAnsi="Times New Roman" w:cs="Times New Roman"/>
                <w:sz w:val="20"/>
                <w:szCs w:val="20"/>
              </w:rPr>
              <w:t>BRCA1/2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5E294F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5E294F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5E294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5E294F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5E294F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5E294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5E294F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5954" w:rsidRPr="005E294F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proofErr w:type="spellEnd"/>
            <w:r w:rsidR="00F34F27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F1112A" w:rsidRPr="005E294F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="00B873D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17D9684" w14:textId="77777777" w:rsidR="00E95954" w:rsidRPr="005E294F" w:rsidRDefault="00467BD1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75AE9" w:rsidRPr="005E294F">
              <w:rPr>
                <w:rFonts w:ascii="Times New Roman" w:hAnsi="Times New Roman" w:cs="Times New Roman"/>
                <w:sz w:val="20"/>
                <w:szCs w:val="20"/>
              </w:rPr>
              <w:t>otwierdzona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5E294F">
              <w:rPr>
                <w:rFonts w:ascii="Times New Roman" w:hAnsi="Times New Roman" w:cs="Times New Roman"/>
                <w:sz w:val="20"/>
                <w:szCs w:val="20"/>
              </w:rPr>
              <w:t>mutacja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5E294F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5E294F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5E294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5E294F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75AE9" w:rsidRPr="005E294F">
              <w:rPr>
                <w:rFonts w:ascii="Times New Roman" w:hAnsi="Times New Roman" w:cs="Times New Roman"/>
                <w:sz w:val="20"/>
                <w:szCs w:val="20"/>
              </w:rPr>
              <w:t>zwalidowanego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5E294F">
              <w:rPr>
                <w:rFonts w:ascii="Times New Roman" w:hAnsi="Times New Roman" w:cs="Times New Roman"/>
                <w:sz w:val="20"/>
                <w:szCs w:val="20"/>
              </w:rPr>
              <w:t>testu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5E2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5E294F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75AE9" w:rsidRPr="005E294F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5E294F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5E29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wykorzystanie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5E294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5E294F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5E294F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A0433DF" w14:textId="77777777" w:rsidR="00861346" w:rsidRPr="005E294F" w:rsidRDefault="00861346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CPS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combined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positive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score</w:t>
            </w:r>
            <w:proofErr w:type="spellEnd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oznaczonej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zwalidowanym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testem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4232CD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E46DDC2" w14:textId="77777777" w:rsidR="00127F97" w:rsidRPr="005E294F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B873D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FB63CF6" w14:textId="77777777" w:rsidR="00127F97" w:rsidRPr="005E294F" w:rsidRDefault="009518F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B873D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D4D68FA" w14:textId="77777777" w:rsidR="00127F97" w:rsidRPr="005E294F" w:rsidRDefault="009518F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B873D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DC14731" w14:textId="77777777" w:rsidR="00127F97" w:rsidRPr="005E294F" w:rsidRDefault="009518F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B873D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AD4ECC2" w14:textId="77777777" w:rsidR="00127F97" w:rsidRPr="005E294F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B873D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58B8CAA" w14:textId="77777777" w:rsidR="00861346" w:rsidRPr="005E294F" w:rsidRDefault="00861346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poziom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TSH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fT4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pembrolizumabem,</w:t>
            </w:r>
          </w:p>
          <w:p w14:paraId="05A04CD3" w14:textId="77777777" w:rsidR="008A03D5" w:rsidRPr="005E294F" w:rsidRDefault="00B95A4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5E294F">
              <w:rPr>
                <w:rFonts w:ascii="Times New Roman" w:hAnsi="Times New Roman" w:cs="Times New Roman"/>
                <w:sz w:val="20"/>
                <w:szCs w:val="20"/>
              </w:rPr>
              <w:t>glukozy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5E294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5E294F">
              <w:rPr>
                <w:rFonts w:ascii="Times New Roman" w:hAnsi="Times New Roman" w:cs="Times New Roman"/>
                <w:sz w:val="20"/>
                <w:szCs w:val="20"/>
              </w:rPr>
              <w:t>czczo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5E294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5E294F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346" w:rsidRPr="005E294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314BF" w:rsidRPr="005E294F">
              <w:rPr>
                <w:rFonts w:ascii="Times New Roman" w:hAnsi="Times New Roman" w:cs="Times New Roman"/>
                <w:sz w:val="20"/>
                <w:szCs w:val="20"/>
              </w:rPr>
              <w:t>alpelisyb</w:t>
            </w:r>
            <w:r w:rsidR="00861346" w:rsidRPr="005E294F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7205" w:rsidRPr="005E294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97205" w:rsidRPr="005E294F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AE65B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1AFDFE4" w14:textId="77777777" w:rsidR="00F314BF" w:rsidRPr="005E294F" w:rsidRDefault="00F314BF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10B12" w:rsidRPr="005E294F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5E294F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5E294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5E294F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4314" w:rsidRPr="005E294F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proofErr w:type="spellEnd"/>
            <w:r w:rsidR="00B873D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32D123C" w14:textId="77777777" w:rsidR="00CA2C66" w:rsidRPr="005E294F" w:rsidRDefault="00CA2C66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przed-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5E294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4314" w:rsidRPr="005E294F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proofErr w:type="spellEnd"/>
            <w:r w:rsidR="00B873D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3214A8E" w14:textId="77777777" w:rsidR="00127F97" w:rsidRPr="005E294F" w:rsidRDefault="00D26AC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ygodni)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F3623B8" w14:textId="77777777" w:rsidR="00127F97" w:rsidRPr="005E294F" w:rsidRDefault="00D26AC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USG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tygodni,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ożliwości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B053D9C" w14:textId="77777777" w:rsidR="00127F97" w:rsidRPr="005E294F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(wykonanie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3195580" w14:textId="77777777" w:rsidR="00DE2B35" w:rsidRPr="005E294F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DF1E273" w14:textId="038D6149" w:rsidR="00127F97" w:rsidRPr="005E294F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012FCD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3890C2E" w14:textId="61D9D9A7" w:rsidR="00127F97" w:rsidRPr="005E294F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wydolności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nieprawidłowych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ECH</w:t>
            </w:r>
            <w:r w:rsidR="00382F5A" w:rsidRPr="005E294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12FCD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9822D5" w:rsidRPr="005E294F">
              <w:rPr>
                <w:rFonts w:ascii="Times New Roman" w:hAnsi="Times New Roman" w:cs="Times New Roman"/>
                <w:sz w:val="20"/>
                <w:szCs w:val="20"/>
              </w:rPr>
              <w:t>jedynie w przypadku stosowania leków anty-HER2).</w:t>
            </w:r>
          </w:p>
          <w:p w14:paraId="0BA4EF3F" w14:textId="77777777" w:rsidR="00127F97" w:rsidRPr="005E294F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wskazania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kliniczne)</w:t>
            </w:r>
            <w:r w:rsidR="00AE65B9" w:rsidRPr="005E29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17AEFA5" w14:textId="77777777" w:rsidR="00127F97" w:rsidRPr="005E294F" w:rsidRDefault="00861346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Wstępne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umożliwić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późniejszą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obiektywną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aktualnych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RECIST.</w:t>
            </w:r>
          </w:p>
          <w:p w14:paraId="744869C6" w14:textId="77777777" w:rsidR="00AE65B9" w:rsidRPr="005E294F" w:rsidRDefault="00AE65B9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0ED328" w14:textId="77777777" w:rsidR="00127F97" w:rsidRPr="005E294F" w:rsidRDefault="00127F97" w:rsidP="005E294F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8B04DB"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68C773AE" w14:textId="77777777" w:rsidR="00127F97" w:rsidRPr="005E294F" w:rsidRDefault="00AE65B9" w:rsidP="005E294F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6C1BC5" w:rsidRPr="005E294F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1BC5" w:rsidRPr="005E294F">
              <w:rPr>
                <w:rFonts w:ascii="Times New Roman" w:hAnsi="Times New Roman" w:cs="Times New Roman"/>
                <w:sz w:val="20"/>
                <w:szCs w:val="20"/>
              </w:rPr>
              <w:t>laboratoryjne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6ADC55C" w14:textId="77777777" w:rsidR="00127F97" w:rsidRPr="005E294F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C07" w:rsidRPr="005E294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9F3C07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3792A86" w14:textId="77777777" w:rsidR="00127F97" w:rsidRPr="005E294F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555C07" w:rsidRPr="005E294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9F3C07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A6110D3" w14:textId="77777777" w:rsidR="00127F97" w:rsidRPr="005E294F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aktywnoś</w:t>
            </w:r>
            <w:r w:rsidR="00555C07" w:rsidRPr="005E294F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9F3C07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8CF46B1" w14:textId="77777777" w:rsidR="00127F97" w:rsidRPr="005E294F" w:rsidRDefault="00CA2C66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AspA</w:t>
            </w:r>
            <w:r w:rsidR="009F3C07" w:rsidRPr="005E294F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proofErr w:type="spellEnd"/>
            <w:r w:rsidR="00AE65B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2D7DE8C" w14:textId="77777777" w:rsidR="00127F97" w:rsidRPr="005E294F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555C07" w:rsidRPr="005E294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9F3C07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E81906D" w14:textId="77777777" w:rsidR="003C057F" w:rsidRPr="005E294F" w:rsidRDefault="003C057F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glukozy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czczo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65B9" w:rsidRPr="005E294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F3DAA" w:rsidRPr="005E294F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5E294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F3DAA" w:rsidRPr="005E294F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 w:rsidR="00AE65B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B8E9145" w14:textId="77777777" w:rsidR="003C057F" w:rsidRPr="005E294F" w:rsidRDefault="003C057F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843" w:rsidRPr="005E2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proofErr w:type="spellEnd"/>
            <w:r w:rsidR="009F3C07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767DE95" w14:textId="77777777" w:rsidR="00F9775A" w:rsidRPr="005E294F" w:rsidRDefault="00F9775A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stosowaniem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analogów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LHRH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4/6,</w:t>
            </w:r>
          </w:p>
          <w:p w14:paraId="06D2BDCB" w14:textId="77777777" w:rsidR="00EF3DAA" w:rsidRPr="005E294F" w:rsidRDefault="00C62C88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QTc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ok.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5E294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5E294F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5E294F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5E294F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5E294F">
              <w:rPr>
                <w:rFonts w:ascii="Times New Roman" w:hAnsi="Times New Roman" w:cs="Times New Roman"/>
                <w:sz w:val="20"/>
                <w:szCs w:val="20"/>
              </w:rPr>
              <w:t>(+/-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5E294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5E294F">
              <w:rPr>
                <w:rFonts w:ascii="Times New Roman" w:hAnsi="Times New Roman" w:cs="Times New Roman"/>
                <w:sz w:val="20"/>
                <w:szCs w:val="20"/>
              </w:rPr>
              <w:t>dni),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5E294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5E294F">
              <w:rPr>
                <w:rFonts w:ascii="Times New Roman" w:hAnsi="Times New Roman" w:cs="Times New Roman"/>
                <w:sz w:val="20"/>
                <w:szCs w:val="20"/>
              </w:rPr>
              <w:t>potem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5E294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5E294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5E294F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5E294F">
              <w:rPr>
                <w:rFonts w:ascii="Times New Roman" w:hAnsi="Times New Roman" w:cs="Times New Roman"/>
                <w:sz w:val="20"/>
                <w:szCs w:val="20"/>
              </w:rPr>
              <w:t>klinicznych)</w:t>
            </w:r>
            <w:r w:rsidR="00EF3DAA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C7C90B" w14:textId="77777777" w:rsidR="00C62C88" w:rsidRPr="005E294F" w:rsidRDefault="008B04D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5E294F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5E294F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5E294F">
              <w:rPr>
                <w:rFonts w:ascii="Times New Roman" w:hAnsi="Times New Roman" w:cs="Times New Roman"/>
                <w:sz w:val="20"/>
                <w:szCs w:val="20"/>
              </w:rPr>
              <w:t>TSH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5E294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5E294F">
              <w:rPr>
                <w:rFonts w:ascii="Times New Roman" w:hAnsi="Times New Roman" w:cs="Times New Roman"/>
                <w:sz w:val="20"/>
                <w:szCs w:val="20"/>
              </w:rPr>
              <w:t>fT4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5E294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5E294F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5E294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5E294F">
              <w:rPr>
                <w:rFonts w:ascii="Times New Roman" w:hAnsi="Times New Roman" w:cs="Times New Roman"/>
                <w:sz w:val="20"/>
                <w:szCs w:val="20"/>
              </w:rPr>
              <w:t>pembrolizumabem.</w:t>
            </w:r>
          </w:p>
          <w:p w14:paraId="5478A2F5" w14:textId="77777777" w:rsidR="00794B51" w:rsidRPr="005E294F" w:rsidRDefault="00794B51" w:rsidP="005E294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10636D" w14:textId="77777777" w:rsidR="00B817BE" w:rsidRPr="005E294F" w:rsidRDefault="00B817BE" w:rsidP="005E294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16C31EF2" w14:textId="77777777" w:rsidR="00B817BE" w:rsidRPr="005E294F" w:rsidRDefault="00B817BE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kolejnym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(zgodnie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rytmem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cykli),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wyłącznego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aromataz</w:t>
            </w:r>
            <w:r w:rsidR="00AE65B9" w:rsidRPr="005E294F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proofErr w:type="spellEnd"/>
            <w:r w:rsidR="00AE65B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686F54A" w14:textId="77777777" w:rsidR="00127F97" w:rsidRPr="005E294F" w:rsidRDefault="00127F97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przed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5E294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5E294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817BE" w:rsidRPr="005E294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817BE" w:rsidRPr="005E294F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proofErr w:type="spellEnd"/>
            <w:r w:rsidR="00AB2520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proofErr w:type="spellStart"/>
            <w:r w:rsidR="00AB2520" w:rsidRPr="005E294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B2520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B2520" w:rsidRPr="005E294F">
              <w:rPr>
                <w:rFonts w:ascii="Times New Roman" w:hAnsi="Times New Roman" w:cs="Times New Roman"/>
                <w:sz w:val="20"/>
                <w:szCs w:val="20"/>
              </w:rPr>
              <w:t>derukstekanem</w:t>
            </w:r>
            <w:proofErr w:type="spellEnd"/>
            <w:r w:rsidR="00AE65B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27D0DC0" w14:textId="77777777" w:rsidR="00127F97" w:rsidRPr="005E294F" w:rsidRDefault="008C1BFB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5E294F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5E294F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5E294F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2C7B" w:rsidRPr="005E294F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5E294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5E294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2C7B" w:rsidRPr="005E294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5E294F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5E294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r w:rsidR="00AE65B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2852782" w14:textId="02586981" w:rsidR="007B1577" w:rsidRPr="005E294F" w:rsidRDefault="00E96108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0B8E" w:rsidRPr="005E29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0B8E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(cykl 28 dniowy) przez pierwsze 4 cykle i </w:t>
            </w:r>
            <w:r w:rsidR="008468B9" w:rsidRPr="005E294F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E10B8E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r w:rsidR="008468B9" w:rsidRPr="005E294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E10B8E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od </w:t>
            </w:r>
            <w:r w:rsidR="008468B9" w:rsidRPr="005E294F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E10B8E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klinicznych, ale nie rzadziej </w:t>
            </w:r>
            <w:r w:rsidR="008468B9" w:rsidRPr="005E294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E10B8E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co 3 miesiące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5E294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5E294F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357518" w:rsidRPr="005E294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5E294F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5E294F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5E294F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AE65B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9499F3D" w14:textId="77777777" w:rsidR="005A68BE" w:rsidRPr="005E294F" w:rsidRDefault="007B1577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57518" w:rsidRPr="005E294F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a)-f)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F6316" w:rsidRPr="005E294F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g)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5E294F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5E29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5E294F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5E294F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5E294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5E294F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1052D" w:rsidRPr="005E294F">
              <w:rPr>
                <w:rFonts w:ascii="Times New Roman" w:hAnsi="Times New Roman" w:cs="Times New Roman"/>
                <w:sz w:val="20"/>
                <w:szCs w:val="20"/>
              </w:rPr>
              <w:t>ppkt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5E294F">
              <w:rPr>
                <w:rFonts w:ascii="Times New Roman" w:hAnsi="Times New Roman" w:cs="Times New Roman"/>
                <w:sz w:val="20"/>
                <w:szCs w:val="20"/>
              </w:rPr>
              <w:t>a)-g)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5E294F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670B" w:rsidRPr="005E2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5E294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423D8" w:rsidRPr="005E294F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proofErr w:type="spellEnd"/>
            <w:r w:rsidR="00AE65B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86EA80D" w14:textId="77777777" w:rsidR="00CE4F32" w:rsidRPr="005E294F" w:rsidRDefault="006246B9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pozostałe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r w:rsidR="00F34F27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4564" w:rsidRPr="005E294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F34F27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olaparybem</w:t>
            </w:r>
            <w:r w:rsidR="00AE65B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831B9BD" w14:textId="77777777" w:rsidR="00EF3DAA" w:rsidRPr="005E294F" w:rsidRDefault="00EF3DAA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proofErr w:type="spellEnd"/>
            <w:r w:rsidR="00AE65B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6AF5848" w14:textId="77777777" w:rsidR="00FA09B0" w:rsidRPr="005E294F" w:rsidRDefault="00EF3DAA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5E294F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E4F32" w:rsidRPr="005E294F">
              <w:rPr>
                <w:rFonts w:ascii="Times New Roman" w:hAnsi="Times New Roman" w:cs="Times New Roman"/>
                <w:sz w:val="20"/>
                <w:szCs w:val="20"/>
              </w:rPr>
              <w:t>tukatynibu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5E294F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9E457E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5E294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E4F32" w:rsidRPr="005E294F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5E294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E4F32" w:rsidRPr="005E29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kapecytabiną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5E294F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5E294F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5E294F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5E294F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5E294F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5E294F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7D210E" w:rsidRPr="005E294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FDAAD14" w14:textId="77777777" w:rsidR="00EF3DAA" w:rsidRPr="005E294F" w:rsidRDefault="00EF3DAA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  <w:r w:rsidR="009E457E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a-e</w:t>
            </w:r>
            <w:r w:rsidR="00AE65B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32EB9D3" w14:textId="77777777" w:rsidR="00EF3DAA" w:rsidRPr="005E294F" w:rsidRDefault="00EF3DAA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punkt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5520" w:rsidRPr="005E294F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AE65B9" w:rsidRPr="005E294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29B9A2A" w14:textId="67A8F835" w:rsidR="00127F97" w:rsidRPr="005E294F" w:rsidRDefault="00AE65B9" w:rsidP="005E294F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trzecim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szóstym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miesiącu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(4-6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ostatniej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dawki)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5E294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5E294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5E294F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5E294F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5E294F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CB1CB3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B1CB3" w:rsidRPr="005E294F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proofErr w:type="spellEnd"/>
            <w:r w:rsidR="00F34F27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B1CB3" w:rsidRPr="005E294F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proofErr w:type="spellEnd"/>
            <w:r w:rsidR="00175E6B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34F27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B46C0" w:rsidRPr="005E294F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="006B35BD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B46C0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75E6B" w:rsidRPr="005E294F">
              <w:rPr>
                <w:rFonts w:ascii="Times New Roman" w:hAnsi="Times New Roman" w:cs="Times New Roman"/>
                <w:sz w:val="20"/>
                <w:szCs w:val="20"/>
              </w:rPr>
              <w:t>sacytuzumabu</w:t>
            </w:r>
            <w:proofErr w:type="spellEnd"/>
            <w:r w:rsidR="00175E6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75E6B" w:rsidRPr="005E294F">
              <w:rPr>
                <w:rFonts w:ascii="Times New Roman" w:hAnsi="Times New Roman" w:cs="Times New Roman"/>
                <w:sz w:val="20"/>
                <w:szCs w:val="20"/>
              </w:rPr>
              <w:t>gowitekanu</w:t>
            </w:r>
            <w:proofErr w:type="spellEnd"/>
            <w:r w:rsidR="006B35BD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proofErr w:type="spellStart"/>
            <w:r w:rsidR="006B35BD" w:rsidRPr="005E294F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 w:rsidR="009F3C07" w:rsidRPr="005E294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675EDD0" w14:textId="77777777" w:rsidR="00127F97" w:rsidRPr="005E294F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5311305" w14:textId="77777777" w:rsidR="00127F97" w:rsidRPr="005E294F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ECHO,</w:t>
            </w:r>
          </w:p>
          <w:p w14:paraId="16B351C1" w14:textId="77777777" w:rsidR="00127F97" w:rsidRPr="005E294F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AB2520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8540FA8" w14:textId="77777777" w:rsidR="00F1705D" w:rsidRPr="005E294F" w:rsidRDefault="00AB2520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TK klatki piersiowej – w zależności od wskazań klinicznych lub podejrzenia śródmiąższowego zapalenia płuc</w:t>
            </w:r>
            <w:r w:rsidR="00E517B2" w:rsidRPr="005E294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BE9A939" w14:textId="77777777" w:rsidR="00127F97" w:rsidRPr="005E294F" w:rsidRDefault="00AE65B9" w:rsidP="005E294F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0899" w:rsidRPr="005E294F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346" w:rsidRPr="005E294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346" w:rsidRPr="005E294F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346" w:rsidRPr="005E294F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A153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u chorych z dobrą kontrolą choroby po 2 latach stosowania leczenia – nie rzadziej niż co 3-6 miesięcy –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wyjściowej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5E294F">
              <w:rPr>
                <w:rFonts w:ascii="Times New Roman" w:hAnsi="Times New Roman" w:cs="Times New Roman"/>
                <w:sz w:val="20"/>
                <w:szCs w:val="20"/>
              </w:rPr>
              <w:t>obrazowej)</w:t>
            </w:r>
            <w:r w:rsidR="009F3C07" w:rsidRPr="005E294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E0DE006" w14:textId="77777777" w:rsidR="00127F97" w:rsidRPr="005E294F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USG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tomografi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komputerow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zmian)</w:t>
            </w:r>
            <w:r w:rsidR="006573BD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5582ABC" w14:textId="77777777" w:rsidR="00127F97" w:rsidRPr="005E294F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zmian),</w:t>
            </w:r>
          </w:p>
          <w:p w14:paraId="326C3EFF" w14:textId="77777777" w:rsidR="00127F97" w:rsidRPr="005E294F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koś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5E294F">
              <w:rPr>
                <w:rFonts w:ascii="Times New Roman" w:hAnsi="Times New Roman" w:cs="Times New Roman"/>
                <w:sz w:val="20"/>
                <w:szCs w:val="20"/>
              </w:rPr>
              <w:t>leczenie)</w:t>
            </w:r>
            <w:r w:rsidR="00D46E83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DB98829" w14:textId="77777777" w:rsidR="00D46E83" w:rsidRPr="005E294F" w:rsidRDefault="00D46E83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proofErr w:type="spellEnd"/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proofErr w:type="spellEnd"/>
            <w:r w:rsidR="00AE65B9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1A990B1" w14:textId="77777777" w:rsidR="00E96108" w:rsidRPr="005E294F" w:rsidRDefault="00E96108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stosowaniem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analogów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LHRH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okr</w:t>
            </w:r>
            <w:r w:rsidR="00D64C2D" w:rsidRPr="005E294F">
              <w:rPr>
                <w:rFonts w:ascii="Times New Roman" w:hAnsi="Times New Roman" w:cs="Times New Roman"/>
                <w:sz w:val="20"/>
                <w:szCs w:val="20"/>
              </w:rPr>
              <w:t>esie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5E294F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5E294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5E294F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5E294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5E294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5E294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5E294F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5E294F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5E294F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6573BD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120C39E" w14:textId="77777777" w:rsidR="00861346" w:rsidRPr="005E294F" w:rsidRDefault="00BF1D1D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(jedynie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przerzutami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mózgu)</w:t>
            </w:r>
            <w:r w:rsidR="006573BD" w:rsidRPr="005E29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82A52A9" w14:textId="77777777" w:rsidR="00861346" w:rsidRPr="005E294F" w:rsidRDefault="00861346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B1E22D" w14:textId="77777777" w:rsidR="00861346" w:rsidRPr="005E294F" w:rsidRDefault="00861346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wykonywanie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koniecznych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aktualnych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RECIST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klinicznej.</w:t>
            </w:r>
          </w:p>
          <w:p w14:paraId="753ECECE" w14:textId="77777777" w:rsidR="00861346" w:rsidRPr="005E294F" w:rsidRDefault="00861346" w:rsidP="005E294F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90BBB6" w14:textId="77777777" w:rsidR="00861346" w:rsidRPr="005E294F" w:rsidRDefault="00861346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Określenie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identycznej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wykorzystanej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kwalifikowania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1C7DE6CC" w14:textId="77777777" w:rsidR="003C02AA" w:rsidRPr="005E294F" w:rsidRDefault="003C02AA" w:rsidP="005E294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 podstawie ww. badań w celu monitorowania skuteczności leczenia lekarz prowadzący określa dla indywidualnego pacjenta wskaźniki odpowiedzi na leczenie, w tym: </w:t>
            </w:r>
          </w:p>
          <w:p w14:paraId="250BE3FF" w14:textId="77777777" w:rsidR="003C02AA" w:rsidRPr="005E294F" w:rsidRDefault="003C02AA" w:rsidP="005E294F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całkowitą (CR) lub częściową odpowiedź (PR) na leczenie,</w:t>
            </w:r>
          </w:p>
          <w:p w14:paraId="15D76A45" w14:textId="70028025" w:rsidR="00541D3A" w:rsidRPr="005E294F" w:rsidRDefault="003C02AA" w:rsidP="005E294F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stabilizację (SD)</w:t>
            </w:r>
            <w:r w:rsidR="00A80C64" w:rsidRPr="005E29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5E29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43676D7" w14:textId="0E4F5E0A" w:rsidR="003C02AA" w:rsidRPr="005E294F" w:rsidRDefault="003C02AA" w:rsidP="005E294F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progresję choroby (PD),</w:t>
            </w:r>
          </w:p>
          <w:p w14:paraId="0BA029F0" w14:textId="077EFED1" w:rsidR="00957268" w:rsidRPr="005E294F" w:rsidRDefault="003C02AA" w:rsidP="005E294F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czas do progresji (PFS).</w:t>
            </w:r>
          </w:p>
          <w:p w14:paraId="2761739F" w14:textId="77777777" w:rsidR="00541D3A" w:rsidRPr="005E294F" w:rsidRDefault="00541D3A" w:rsidP="005E294F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A75A3F9" w14:textId="77777777" w:rsidR="005A38EC" w:rsidRPr="005E294F" w:rsidRDefault="005A38EC" w:rsidP="005E294F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8B04DB"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2E203B62" w14:textId="77777777" w:rsidR="006C5460" w:rsidRPr="005E294F" w:rsidRDefault="009F3C07" w:rsidP="005E294F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592F3B9" w14:textId="552F9072" w:rsidR="006208CF" w:rsidRPr="005E294F" w:rsidRDefault="006208CF" w:rsidP="005E294F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uzupełnianie danych zawartych w elektronicznym systemie monitorowania programów lekowych, w tym również parametrów dotyczących skuteczności leczenia (całkowita (CR) lub częściowa odpowiedz (PR), stabilizacja (SD)</w:t>
            </w:r>
            <w:r w:rsidR="00A80C64" w:rsidRPr="005E29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progresja choroby (PD) oraz czas do progresji (PFS)), dostępnym za pomocą aplikacji internetowej udostępnionej przez OW NFZ, z częstotliwością zgodną z opisem programu oraz na zakończenie leczenia;</w:t>
            </w:r>
          </w:p>
          <w:p w14:paraId="119CC0E0" w14:textId="77777777" w:rsidR="005A38EC" w:rsidRPr="002A05BA" w:rsidRDefault="009F3C07" w:rsidP="005E294F">
            <w:pPr>
              <w:pStyle w:val="Akapitzlist"/>
              <w:numPr>
                <w:ilvl w:val="3"/>
                <w:numId w:val="15"/>
              </w:numPr>
              <w:autoSpaceDE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9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5E2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94F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5A38EC" w:rsidRPr="005E29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257FA109" w14:textId="77777777" w:rsidR="00104C31" w:rsidRPr="00B873D9" w:rsidRDefault="00104C31" w:rsidP="00E7571F"/>
    <w:sectPr w:rsidR="00104C31" w:rsidRPr="00B873D9" w:rsidSect="003C345F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B3C94" w14:textId="77777777" w:rsidR="00C14716" w:rsidRDefault="00C14716" w:rsidP="00E30CF4">
      <w:pPr>
        <w:spacing w:after="0" w:line="240" w:lineRule="auto"/>
      </w:pPr>
      <w:r>
        <w:separator/>
      </w:r>
    </w:p>
  </w:endnote>
  <w:endnote w:type="continuationSeparator" w:id="0">
    <w:p w14:paraId="6E3C7C08" w14:textId="77777777" w:rsidR="00C14716" w:rsidRDefault="00C14716" w:rsidP="00E30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4F7CD" w14:textId="77777777" w:rsidR="00C14716" w:rsidRDefault="00C14716" w:rsidP="00E30CF4">
      <w:pPr>
        <w:spacing w:after="0" w:line="240" w:lineRule="auto"/>
      </w:pPr>
      <w:r>
        <w:separator/>
      </w:r>
    </w:p>
  </w:footnote>
  <w:footnote w:type="continuationSeparator" w:id="0">
    <w:p w14:paraId="5828F456" w14:textId="77777777" w:rsidR="00C14716" w:rsidRDefault="00C14716" w:rsidP="00E30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A59F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7FD2C9A"/>
    <w:multiLevelType w:val="hybridMultilevel"/>
    <w:tmpl w:val="A20070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620A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A4F24E5"/>
    <w:multiLevelType w:val="hybridMultilevel"/>
    <w:tmpl w:val="4F7A668A"/>
    <w:lvl w:ilvl="0" w:tplc="2C1A2C2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2FDA16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CE42528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1288659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2B3C0CB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24CCF14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3E4A28F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BB2C34F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0EE133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4" w15:restartNumberingAfterBreak="0">
    <w:nsid w:val="0DE951ED"/>
    <w:multiLevelType w:val="multilevel"/>
    <w:tmpl w:val="6350577E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20636A8"/>
    <w:multiLevelType w:val="hybridMultilevel"/>
    <w:tmpl w:val="B6988BE0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6EEE392A">
      <w:start w:val="1"/>
      <w:numFmt w:val="lowerLetter"/>
      <w:suff w:val="space"/>
      <w:lvlText w:val="%5)"/>
      <w:lvlJc w:val="left"/>
      <w:pPr>
        <w:ind w:left="227" w:firstLine="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 w15:restartNumberingAfterBreak="0">
    <w:nsid w:val="1230777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3A8354D"/>
    <w:multiLevelType w:val="hybridMultilevel"/>
    <w:tmpl w:val="F7F04F28"/>
    <w:lvl w:ilvl="0" w:tplc="E7B2179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14802B3F"/>
    <w:multiLevelType w:val="hybridMultilevel"/>
    <w:tmpl w:val="8F9CC440"/>
    <w:lvl w:ilvl="0" w:tplc="E7B2179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16486C60"/>
    <w:multiLevelType w:val="multilevel"/>
    <w:tmpl w:val="120491D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A4914A1"/>
    <w:multiLevelType w:val="multilevel"/>
    <w:tmpl w:val="198C84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4CE1D2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51F4666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69305C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ADA3537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B4E065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2FE0599B"/>
    <w:multiLevelType w:val="hybridMultilevel"/>
    <w:tmpl w:val="BA4EF1CA"/>
    <w:lvl w:ilvl="0" w:tplc="8FF2D126">
      <w:start w:val="1"/>
      <w:numFmt w:val="lowerLetter"/>
      <w:lvlText w:val="%1)"/>
      <w:lvlJc w:val="left"/>
      <w:pPr>
        <w:ind w:left="1440" w:hanging="360"/>
      </w:pPr>
    </w:lvl>
    <w:lvl w:ilvl="1" w:tplc="2796223E">
      <w:start w:val="1"/>
      <w:numFmt w:val="lowerLetter"/>
      <w:lvlText w:val="%2)"/>
      <w:lvlJc w:val="left"/>
      <w:pPr>
        <w:ind w:left="1440" w:hanging="360"/>
      </w:pPr>
    </w:lvl>
    <w:lvl w:ilvl="2" w:tplc="0F929D06">
      <w:start w:val="1"/>
      <w:numFmt w:val="lowerLetter"/>
      <w:lvlText w:val="%3)"/>
      <w:lvlJc w:val="left"/>
      <w:pPr>
        <w:ind w:left="1440" w:hanging="360"/>
      </w:pPr>
    </w:lvl>
    <w:lvl w:ilvl="3" w:tplc="5E42A7AC">
      <w:start w:val="1"/>
      <w:numFmt w:val="lowerLetter"/>
      <w:lvlText w:val="%4)"/>
      <w:lvlJc w:val="left"/>
      <w:pPr>
        <w:ind w:left="1440" w:hanging="360"/>
      </w:pPr>
    </w:lvl>
    <w:lvl w:ilvl="4" w:tplc="F244D5E6">
      <w:start w:val="1"/>
      <w:numFmt w:val="lowerLetter"/>
      <w:lvlText w:val="%5)"/>
      <w:lvlJc w:val="left"/>
      <w:pPr>
        <w:ind w:left="1440" w:hanging="360"/>
      </w:pPr>
    </w:lvl>
    <w:lvl w:ilvl="5" w:tplc="57E2082A">
      <w:start w:val="1"/>
      <w:numFmt w:val="lowerLetter"/>
      <w:lvlText w:val="%6)"/>
      <w:lvlJc w:val="left"/>
      <w:pPr>
        <w:ind w:left="1440" w:hanging="360"/>
      </w:pPr>
    </w:lvl>
    <w:lvl w:ilvl="6" w:tplc="97FC1A1A">
      <w:start w:val="1"/>
      <w:numFmt w:val="lowerLetter"/>
      <w:lvlText w:val="%7)"/>
      <w:lvlJc w:val="left"/>
      <w:pPr>
        <w:ind w:left="1440" w:hanging="360"/>
      </w:pPr>
    </w:lvl>
    <w:lvl w:ilvl="7" w:tplc="9BC43FF2">
      <w:start w:val="1"/>
      <w:numFmt w:val="lowerLetter"/>
      <w:lvlText w:val="%8)"/>
      <w:lvlJc w:val="left"/>
      <w:pPr>
        <w:ind w:left="1440" w:hanging="360"/>
      </w:pPr>
    </w:lvl>
    <w:lvl w:ilvl="8" w:tplc="9F5C0B0C">
      <w:start w:val="1"/>
      <w:numFmt w:val="lowerLetter"/>
      <w:lvlText w:val="%9)"/>
      <w:lvlJc w:val="left"/>
      <w:pPr>
        <w:ind w:left="1440" w:hanging="360"/>
      </w:pPr>
    </w:lvl>
  </w:abstractNum>
  <w:abstractNum w:abstractNumId="17" w15:restartNumberingAfterBreak="0">
    <w:nsid w:val="317D3FD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361E52EA"/>
    <w:multiLevelType w:val="hybridMultilevel"/>
    <w:tmpl w:val="38DCA9C0"/>
    <w:lvl w:ilvl="0" w:tplc="DC22BFC6">
      <w:start w:val="1"/>
      <w:numFmt w:val="decimal"/>
      <w:lvlText w:val="%1."/>
      <w:lvlJc w:val="left"/>
      <w:pPr>
        <w:ind w:left="1080" w:hanging="360"/>
      </w:pPr>
    </w:lvl>
    <w:lvl w:ilvl="1" w:tplc="B1045230">
      <w:start w:val="1"/>
      <w:numFmt w:val="decimal"/>
      <w:lvlText w:val="%2."/>
      <w:lvlJc w:val="left"/>
      <w:pPr>
        <w:ind w:left="1080" w:hanging="360"/>
      </w:pPr>
    </w:lvl>
    <w:lvl w:ilvl="2" w:tplc="8D86BA4E">
      <w:start w:val="1"/>
      <w:numFmt w:val="decimal"/>
      <w:lvlText w:val="%3."/>
      <w:lvlJc w:val="left"/>
      <w:pPr>
        <w:ind w:left="1080" w:hanging="360"/>
      </w:pPr>
    </w:lvl>
    <w:lvl w:ilvl="3" w:tplc="B34E5C14">
      <w:start w:val="1"/>
      <w:numFmt w:val="decimal"/>
      <w:lvlText w:val="%4."/>
      <w:lvlJc w:val="left"/>
      <w:pPr>
        <w:ind w:left="1080" w:hanging="360"/>
      </w:pPr>
    </w:lvl>
    <w:lvl w:ilvl="4" w:tplc="DAD6E530">
      <w:start w:val="1"/>
      <w:numFmt w:val="decimal"/>
      <w:lvlText w:val="%5."/>
      <w:lvlJc w:val="left"/>
      <w:pPr>
        <w:ind w:left="1080" w:hanging="360"/>
      </w:pPr>
    </w:lvl>
    <w:lvl w:ilvl="5" w:tplc="0DA6DD0A">
      <w:start w:val="1"/>
      <w:numFmt w:val="decimal"/>
      <w:lvlText w:val="%6."/>
      <w:lvlJc w:val="left"/>
      <w:pPr>
        <w:ind w:left="1080" w:hanging="360"/>
      </w:pPr>
    </w:lvl>
    <w:lvl w:ilvl="6" w:tplc="55EEFE20">
      <w:start w:val="1"/>
      <w:numFmt w:val="decimal"/>
      <w:lvlText w:val="%7."/>
      <w:lvlJc w:val="left"/>
      <w:pPr>
        <w:ind w:left="1080" w:hanging="360"/>
      </w:pPr>
    </w:lvl>
    <w:lvl w:ilvl="7" w:tplc="97AE8F98">
      <w:start w:val="1"/>
      <w:numFmt w:val="decimal"/>
      <w:lvlText w:val="%8."/>
      <w:lvlJc w:val="left"/>
      <w:pPr>
        <w:ind w:left="1080" w:hanging="360"/>
      </w:pPr>
    </w:lvl>
    <w:lvl w:ilvl="8" w:tplc="628CFEC8">
      <w:start w:val="1"/>
      <w:numFmt w:val="decimal"/>
      <w:lvlText w:val="%9."/>
      <w:lvlJc w:val="left"/>
      <w:pPr>
        <w:ind w:left="1080" w:hanging="360"/>
      </w:pPr>
    </w:lvl>
  </w:abstractNum>
  <w:abstractNum w:abstractNumId="19" w15:restartNumberingAfterBreak="0">
    <w:nsid w:val="3702760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38944CC1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39F70ACB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46FA215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474020E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48ED72D4"/>
    <w:multiLevelType w:val="hybridMultilevel"/>
    <w:tmpl w:val="1D549E42"/>
    <w:lvl w:ilvl="0" w:tplc="C5284C38">
      <w:start w:val="1"/>
      <w:numFmt w:val="decimal"/>
      <w:lvlText w:val="%1."/>
      <w:lvlJc w:val="left"/>
      <w:pPr>
        <w:ind w:left="1080" w:hanging="360"/>
      </w:pPr>
    </w:lvl>
    <w:lvl w:ilvl="1" w:tplc="80106782">
      <w:start w:val="1"/>
      <w:numFmt w:val="decimal"/>
      <w:lvlText w:val="%2."/>
      <w:lvlJc w:val="left"/>
      <w:pPr>
        <w:ind w:left="1080" w:hanging="360"/>
      </w:pPr>
    </w:lvl>
    <w:lvl w:ilvl="2" w:tplc="7AF22C30">
      <w:start w:val="1"/>
      <w:numFmt w:val="decimal"/>
      <w:lvlText w:val="%3."/>
      <w:lvlJc w:val="left"/>
      <w:pPr>
        <w:ind w:left="1080" w:hanging="360"/>
      </w:pPr>
    </w:lvl>
    <w:lvl w:ilvl="3" w:tplc="B3B6D44C">
      <w:start w:val="1"/>
      <w:numFmt w:val="decimal"/>
      <w:lvlText w:val="%4."/>
      <w:lvlJc w:val="left"/>
      <w:pPr>
        <w:ind w:left="1080" w:hanging="360"/>
      </w:pPr>
    </w:lvl>
    <w:lvl w:ilvl="4" w:tplc="10C8303A">
      <w:start w:val="1"/>
      <w:numFmt w:val="decimal"/>
      <w:lvlText w:val="%5."/>
      <w:lvlJc w:val="left"/>
      <w:pPr>
        <w:ind w:left="1080" w:hanging="360"/>
      </w:pPr>
    </w:lvl>
    <w:lvl w:ilvl="5" w:tplc="9F48FBE4">
      <w:start w:val="1"/>
      <w:numFmt w:val="decimal"/>
      <w:lvlText w:val="%6."/>
      <w:lvlJc w:val="left"/>
      <w:pPr>
        <w:ind w:left="1080" w:hanging="360"/>
      </w:pPr>
    </w:lvl>
    <w:lvl w:ilvl="6" w:tplc="1842E98C">
      <w:start w:val="1"/>
      <w:numFmt w:val="decimal"/>
      <w:lvlText w:val="%7."/>
      <w:lvlJc w:val="left"/>
      <w:pPr>
        <w:ind w:left="1080" w:hanging="360"/>
      </w:pPr>
    </w:lvl>
    <w:lvl w:ilvl="7" w:tplc="501A765C">
      <w:start w:val="1"/>
      <w:numFmt w:val="decimal"/>
      <w:lvlText w:val="%8."/>
      <w:lvlJc w:val="left"/>
      <w:pPr>
        <w:ind w:left="1080" w:hanging="360"/>
      </w:pPr>
    </w:lvl>
    <w:lvl w:ilvl="8" w:tplc="44AE3008">
      <w:start w:val="1"/>
      <w:numFmt w:val="decimal"/>
      <w:lvlText w:val="%9."/>
      <w:lvlJc w:val="left"/>
      <w:pPr>
        <w:ind w:left="1080" w:hanging="360"/>
      </w:pPr>
    </w:lvl>
  </w:abstractNum>
  <w:abstractNum w:abstractNumId="25" w15:restartNumberingAfterBreak="0">
    <w:nsid w:val="4DA45D5E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4DEB6DC3"/>
    <w:multiLevelType w:val="hybridMultilevel"/>
    <w:tmpl w:val="5F5A5CCA"/>
    <w:lvl w:ilvl="0" w:tplc="AA065046">
      <w:start w:val="8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83671D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584F19B3"/>
    <w:multiLevelType w:val="multilevel"/>
    <w:tmpl w:val="19B48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5D240AB6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618C000C"/>
    <w:multiLevelType w:val="hybridMultilevel"/>
    <w:tmpl w:val="00F891F6"/>
    <w:lvl w:ilvl="0" w:tplc="15CA412E">
      <w:start w:val="1"/>
      <w:numFmt w:val="decimal"/>
      <w:lvlText w:val="%1."/>
      <w:lvlJc w:val="left"/>
      <w:pPr>
        <w:ind w:left="360" w:hanging="360"/>
      </w:pPr>
      <w:rPr>
        <w:rFonts w:ascii="Times New Roman" w:eastAsia="PMingLiU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5D2753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67FA32C5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6AB6284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70803497"/>
    <w:multiLevelType w:val="multilevel"/>
    <w:tmpl w:val="65B2CFA8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76700461"/>
    <w:multiLevelType w:val="multilevel"/>
    <w:tmpl w:val="65B2CFA8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767C4D7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7A376796"/>
    <w:multiLevelType w:val="hybridMultilevel"/>
    <w:tmpl w:val="73AE4C3E"/>
    <w:lvl w:ilvl="0" w:tplc="38A8E144">
      <w:start w:val="1"/>
      <w:numFmt w:val="lowerLetter"/>
      <w:lvlText w:val="%1)"/>
      <w:lvlJc w:val="left"/>
      <w:pPr>
        <w:ind w:left="1440" w:hanging="360"/>
      </w:pPr>
    </w:lvl>
    <w:lvl w:ilvl="1" w:tplc="A1224512">
      <w:start w:val="1"/>
      <w:numFmt w:val="lowerLetter"/>
      <w:lvlText w:val="%2)"/>
      <w:lvlJc w:val="left"/>
      <w:pPr>
        <w:ind w:left="1440" w:hanging="360"/>
      </w:pPr>
    </w:lvl>
    <w:lvl w:ilvl="2" w:tplc="4352F484">
      <w:start w:val="1"/>
      <w:numFmt w:val="lowerLetter"/>
      <w:lvlText w:val="%3)"/>
      <w:lvlJc w:val="left"/>
      <w:pPr>
        <w:ind w:left="1440" w:hanging="360"/>
      </w:pPr>
    </w:lvl>
    <w:lvl w:ilvl="3" w:tplc="2534939E">
      <w:start w:val="1"/>
      <w:numFmt w:val="lowerLetter"/>
      <w:lvlText w:val="%4)"/>
      <w:lvlJc w:val="left"/>
      <w:pPr>
        <w:ind w:left="1440" w:hanging="360"/>
      </w:pPr>
    </w:lvl>
    <w:lvl w:ilvl="4" w:tplc="933A8B00">
      <w:start w:val="1"/>
      <w:numFmt w:val="lowerLetter"/>
      <w:lvlText w:val="%5)"/>
      <w:lvlJc w:val="left"/>
      <w:pPr>
        <w:ind w:left="1440" w:hanging="360"/>
      </w:pPr>
    </w:lvl>
    <w:lvl w:ilvl="5" w:tplc="07E2BDF8">
      <w:start w:val="1"/>
      <w:numFmt w:val="lowerLetter"/>
      <w:lvlText w:val="%6)"/>
      <w:lvlJc w:val="left"/>
      <w:pPr>
        <w:ind w:left="1440" w:hanging="360"/>
      </w:pPr>
    </w:lvl>
    <w:lvl w:ilvl="6" w:tplc="615EBBDC">
      <w:start w:val="1"/>
      <w:numFmt w:val="lowerLetter"/>
      <w:lvlText w:val="%7)"/>
      <w:lvlJc w:val="left"/>
      <w:pPr>
        <w:ind w:left="1440" w:hanging="360"/>
      </w:pPr>
    </w:lvl>
    <w:lvl w:ilvl="7" w:tplc="9156FFC6">
      <w:start w:val="1"/>
      <w:numFmt w:val="lowerLetter"/>
      <w:lvlText w:val="%8)"/>
      <w:lvlJc w:val="left"/>
      <w:pPr>
        <w:ind w:left="1440" w:hanging="360"/>
      </w:pPr>
    </w:lvl>
    <w:lvl w:ilvl="8" w:tplc="D7B26DE6">
      <w:start w:val="1"/>
      <w:numFmt w:val="lowerLetter"/>
      <w:lvlText w:val="%9)"/>
      <w:lvlJc w:val="left"/>
      <w:pPr>
        <w:ind w:left="1440" w:hanging="360"/>
      </w:pPr>
    </w:lvl>
  </w:abstractNum>
  <w:abstractNum w:abstractNumId="38" w15:restartNumberingAfterBreak="0">
    <w:nsid w:val="7A3B023F"/>
    <w:multiLevelType w:val="hybridMultilevel"/>
    <w:tmpl w:val="18246820"/>
    <w:lvl w:ilvl="0" w:tplc="CA44151A">
      <w:start w:val="1"/>
      <w:numFmt w:val="decimal"/>
      <w:lvlText w:val="%1)"/>
      <w:lvlJc w:val="left"/>
      <w:pPr>
        <w:ind w:left="1160" w:hanging="360"/>
      </w:pPr>
    </w:lvl>
    <w:lvl w:ilvl="1" w:tplc="25E2A35C">
      <w:start w:val="1"/>
      <w:numFmt w:val="lowerLetter"/>
      <w:lvlText w:val="%2)"/>
      <w:lvlJc w:val="left"/>
      <w:pPr>
        <w:ind w:left="1400" w:hanging="360"/>
      </w:pPr>
    </w:lvl>
    <w:lvl w:ilvl="2" w:tplc="63A2D9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A9E56FE">
      <w:start w:val="1"/>
      <w:numFmt w:val="bullet"/>
      <w:lvlText w:val=""/>
      <w:lvlJc w:val="left"/>
      <w:pPr>
        <w:ind w:left="1620" w:hanging="360"/>
      </w:pPr>
      <w:rPr>
        <w:rFonts w:ascii="Symbol" w:hAnsi="Symbol"/>
      </w:rPr>
    </w:lvl>
    <w:lvl w:ilvl="4" w:tplc="452CFF32">
      <w:start w:val="1"/>
      <w:numFmt w:val="decimal"/>
      <w:lvlText w:val="%5)"/>
      <w:lvlJc w:val="left"/>
      <w:pPr>
        <w:ind w:left="1160" w:hanging="360"/>
      </w:pPr>
    </w:lvl>
    <w:lvl w:ilvl="5" w:tplc="EA66E7BC">
      <w:start w:val="1"/>
      <w:numFmt w:val="decimal"/>
      <w:lvlText w:val="%6)"/>
      <w:lvlJc w:val="left"/>
      <w:pPr>
        <w:ind w:left="1160" w:hanging="360"/>
      </w:pPr>
    </w:lvl>
    <w:lvl w:ilvl="6" w:tplc="CAE2C0C0">
      <w:start w:val="1"/>
      <w:numFmt w:val="decimal"/>
      <w:lvlText w:val="%7)"/>
      <w:lvlJc w:val="left"/>
      <w:pPr>
        <w:ind w:left="1160" w:hanging="360"/>
      </w:pPr>
    </w:lvl>
    <w:lvl w:ilvl="7" w:tplc="08842E3C">
      <w:start w:val="1"/>
      <w:numFmt w:val="decimal"/>
      <w:lvlText w:val="%8)"/>
      <w:lvlJc w:val="left"/>
      <w:pPr>
        <w:ind w:left="1160" w:hanging="360"/>
      </w:pPr>
    </w:lvl>
    <w:lvl w:ilvl="8" w:tplc="30A22A64">
      <w:start w:val="1"/>
      <w:numFmt w:val="decimal"/>
      <w:lvlText w:val="%9)"/>
      <w:lvlJc w:val="left"/>
      <w:pPr>
        <w:ind w:left="1160" w:hanging="360"/>
      </w:pPr>
    </w:lvl>
  </w:abstractNum>
  <w:abstractNum w:abstractNumId="39" w15:restartNumberingAfterBreak="0">
    <w:nsid w:val="7A3F0D74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7AF738D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7CDD02F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393747430">
    <w:abstractNumId w:val="2"/>
  </w:num>
  <w:num w:numId="2" w16cid:durableId="2037348938">
    <w:abstractNumId w:val="13"/>
  </w:num>
  <w:num w:numId="3" w16cid:durableId="728260087">
    <w:abstractNumId w:val="27"/>
  </w:num>
  <w:num w:numId="4" w16cid:durableId="1709840403">
    <w:abstractNumId w:val="15"/>
  </w:num>
  <w:num w:numId="5" w16cid:durableId="1241982579">
    <w:abstractNumId w:val="11"/>
  </w:num>
  <w:num w:numId="6" w16cid:durableId="272715184">
    <w:abstractNumId w:val="32"/>
  </w:num>
  <w:num w:numId="7" w16cid:durableId="1556428492">
    <w:abstractNumId w:val="29"/>
  </w:num>
  <w:num w:numId="8" w16cid:durableId="682705144">
    <w:abstractNumId w:val="20"/>
  </w:num>
  <w:num w:numId="9" w16cid:durableId="43993552">
    <w:abstractNumId w:val="0"/>
  </w:num>
  <w:num w:numId="10" w16cid:durableId="687608596">
    <w:abstractNumId w:val="31"/>
  </w:num>
  <w:num w:numId="11" w16cid:durableId="1221330134">
    <w:abstractNumId w:val="35"/>
  </w:num>
  <w:num w:numId="12" w16cid:durableId="1482499103">
    <w:abstractNumId w:val="34"/>
  </w:num>
  <w:num w:numId="13" w16cid:durableId="1889300111">
    <w:abstractNumId w:val="4"/>
  </w:num>
  <w:num w:numId="14" w16cid:durableId="305085813">
    <w:abstractNumId w:val="9"/>
  </w:num>
  <w:num w:numId="15" w16cid:durableId="6059142">
    <w:abstractNumId w:val="10"/>
  </w:num>
  <w:num w:numId="16" w16cid:durableId="1036999704">
    <w:abstractNumId w:val="28"/>
  </w:num>
  <w:num w:numId="17" w16cid:durableId="705835408">
    <w:abstractNumId w:val="1"/>
  </w:num>
  <w:num w:numId="18" w16cid:durableId="703091989">
    <w:abstractNumId w:val="22"/>
  </w:num>
  <w:num w:numId="19" w16cid:durableId="1788618918">
    <w:abstractNumId w:val="30"/>
  </w:num>
  <w:num w:numId="20" w16cid:durableId="1839072834">
    <w:abstractNumId w:val="14"/>
  </w:num>
  <w:num w:numId="21" w16cid:durableId="572085909">
    <w:abstractNumId w:val="6"/>
  </w:num>
  <w:num w:numId="22" w16cid:durableId="572351042">
    <w:abstractNumId w:val="39"/>
  </w:num>
  <w:num w:numId="23" w16cid:durableId="347487063">
    <w:abstractNumId w:val="23"/>
  </w:num>
  <w:num w:numId="24" w16cid:durableId="256408518">
    <w:abstractNumId w:val="33"/>
  </w:num>
  <w:num w:numId="25" w16cid:durableId="1429541711">
    <w:abstractNumId w:val="17"/>
  </w:num>
  <w:num w:numId="26" w16cid:durableId="239876812">
    <w:abstractNumId w:val="36"/>
  </w:num>
  <w:num w:numId="27" w16cid:durableId="1315374504">
    <w:abstractNumId w:val="40"/>
  </w:num>
  <w:num w:numId="28" w16cid:durableId="21710778">
    <w:abstractNumId w:val="41"/>
  </w:num>
  <w:num w:numId="29" w16cid:durableId="1418013562">
    <w:abstractNumId w:val="21"/>
  </w:num>
  <w:num w:numId="30" w16cid:durableId="528375352">
    <w:abstractNumId w:val="12"/>
  </w:num>
  <w:num w:numId="31" w16cid:durableId="1535121161">
    <w:abstractNumId w:val="19"/>
  </w:num>
  <w:num w:numId="32" w16cid:durableId="1092552453">
    <w:abstractNumId w:val="5"/>
  </w:num>
  <w:num w:numId="33" w16cid:durableId="2119182605">
    <w:abstractNumId w:val="7"/>
  </w:num>
  <w:num w:numId="34" w16cid:durableId="1747218875">
    <w:abstractNumId w:val="25"/>
  </w:num>
  <w:num w:numId="35" w16cid:durableId="1882326203">
    <w:abstractNumId w:val="8"/>
  </w:num>
  <w:num w:numId="36" w16cid:durableId="1168400450">
    <w:abstractNumId w:val="26"/>
  </w:num>
  <w:num w:numId="37" w16cid:durableId="963344595">
    <w:abstractNumId w:val="24"/>
  </w:num>
  <w:num w:numId="38" w16cid:durableId="748697119">
    <w:abstractNumId w:val="38"/>
  </w:num>
  <w:num w:numId="39" w16cid:durableId="147064252">
    <w:abstractNumId w:val="18"/>
  </w:num>
  <w:num w:numId="40" w16cid:durableId="1335300339">
    <w:abstractNumId w:val="37"/>
  </w:num>
  <w:num w:numId="41" w16cid:durableId="117571934">
    <w:abstractNumId w:val="3"/>
  </w:num>
  <w:num w:numId="42" w16cid:durableId="2017491256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D9B"/>
    <w:rsid w:val="000000B6"/>
    <w:rsid w:val="00000263"/>
    <w:rsid w:val="00001891"/>
    <w:rsid w:val="00003D64"/>
    <w:rsid w:val="00003FDE"/>
    <w:rsid w:val="000042CB"/>
    <w:rsid w:val="00007894"/>
    <w:rsid w:val="00011428"/>
    <w:rsid w:val="000128B8"/>
    <w:rsid w:val="00012FCD"/>
    <w:rsid w:val="0001703F"/>
    <w:rsid w:val="000179EB"/>
    <w:rsid w:val="00017E74"/>
    <w:rsid w:val="00024393"/>
    <w:rsid w:val="000243EF"/>
    <w:rsid w:val="000252C9"/>
    <w:rsid w:val="0002535A"/>
    <w:rsid w:val="00031AAF"/>
    <w:rsid w:val="00032EC5"/>
    <w:rsid w:val="00033A6E"/>
    <w:rsid w:val="0003422A"/>
    <w:rsid w:val="00034D20"/>
    <w:rsid w:val="0003511C"/>
    <w:rsid w:val="000368A8"/>
    <w:rsid w:val="000373EB"/>
    <w:rsid w:val="00040B70"/>
    <w:rsid w:val="00040C5C"/>
    <w:rsid w:val="00043A74"/>
    <w:rsid w:val="00043B62"/>
    <w:rsid w:val="000453C9"/>
    <w:rsid w:val="00046005"/>
    <w:rsid w:val="000515FD"/>
    <w:rsid w:val="00054321"/>
    <w:rsid w:val="0005639B"/>
    <w:rsid w:val="00060DB6"/>
    <w:rsid w:val="0006500B"/>
    <w:rsid w:val="00074ED4"/>
    <w:rsid w:val="00080C2A"/>
    <w:rsid w:val="0008395E"/>
    <w:rsid w:val="0008571E"/>
    <w:rsid w:val="00085755"/>
    <w:rsid w:val="00085988"/>
    <w:rsid w:val="00086379"/>
    <w:rsid w:val="00087463"/>
    <w:rsid w:val="00087555"/>
    <w:rsid w:val="00090F70"/>
    <w:rsid w:val="00092BE2"/>
    <w:rsid w:val="00094ED5"/>
    <w:rsid w:val="000A09AF"/>
    <w:rsid w:val="000A0CB0"/>
    <w:rsid w:val="000A3C7C"/>
    <w:rsid w:val="000A51A7"/>
    <w:rsid w:val="000A59EA"/>
    <w:rsid w:val="000A7E4C"/>
    <w:rsid w:val="000B0278"/>
    <w:rsid w:val="000B21CF"/>
    <w:rsid w:val="000B585F"/>
    <w:rsid w:val="000B5DDF"/>
    <w:rsid w:val="000B5E96"/>
    <w:rsid w:val="000B5F9E"/>
    <w:rsid w:val="000B6C23"/>
    <w:rsid w:val="000C1E68"/>
    <w:rsid w:val="000C2090"/>
    <w:rsid w:val="000C437C"/>
    <w:rsid w:val="000C43E9"/>
    <w:rsid w:val="000C75B6"/>
    <w:rsid w:val="000D0E52"/>
    <w:rsid w:val="000D348D"/>
    <w:rsid w:val="000D5778"/>
    <w:rsid w:val="000D7D2D"/>
    <w:rsid w:val="000E2D39"/>
    <w:rsid w:val="000F39D8"/>
    <w:rsid w:val="000F5365"/>
    <w:rsid w:val="00100F8E"/>
    <w:rsid w:val="00102A4A"/>
    <w:rsid w:val="00103042"/>
    <w:rsid w:val="00103604"/>
    <w:rsid w:val="00104C31"/>
    <w:rsid w:val="00107B77"/>
    <w:rsid w:val="0011027A"/>
    <w:rsid w:val="001104C4"/>
    <w:rsid w:val="0011175F"/>
    <w:rsid w:val="00111DFD"/>
    <w:rsid w:val="00111F21"/>
    <w:rsid w:val="0011381A"/>
    <w:rsid w:val="00117E26"/>
    <w:rsid w:val="00120A38"/>
    <w:rsid w:val="00121A99"/>
    <w:rsid w:val="001232F8"/>
    <w:rsid w:val="00123451"/>
    <w:rsid w:val="0012493A"/>
    <w:rsid w:val="00127F97"/>
    <w:rsid w:val="00132EAC"/>
    <w:rsid w:val="001341F0"/>
    <w:rsid w:val="001369C0"/>
    <w:rsid w:val="001411DF"/>
    <w:rsid w:val="00141AA4"/>
    <w:rsid w:val="0014213C"/>
    <w:rsid w:val="001423D8"/>
    <w:rsid w:val="00145133"/>
    <w:rsid w:val="001454DD"/>
    <w:rsid w:val="001606E1"/>
    <w:rsid w:val="0016207C"/>
    <w:rsid w:val="0016571B"/>
    <w:rsid w:val="0016703E"/>
    <w:rsid w:val="001707CC"/>
    <w:rsid w:val="0017268F"/>
    <w:rsid w:val="001730CE"/>
    <w:rsid w:val="001746F7"/>
    <w:rsid w:val="001750AD"/>
    <w:rsid w:val="00175E6B"/>
    <w:rsid w:val="00181742"/>
    <w:rsid w:val="00190FF3"/>
    <w:rsid w:val="00191941"/>
    <w:rsid w:val="00195EAC"/>
    <w:rsid w:val="001A336C"/>
    <w:rsid w:val="001B4529"/>
    <w:rsid w:val="001B5DB2"/>
    <w:rsid w:val="001C30BB"/>
    <w:rsid w:val="001C3B36"/>
    <w:rsid w:val="001C5F00"/>
    <w:rsid w:val="001D167A"/>
    <w:rsid w:val="001E0A1F"/>
    <w:rsid w:val="001E19D2"/>
    <w:rsid w:val="001E2892"/>
    <w:rsid w:val="001E3CF1"/>
    <w:rsid w:val="001E47C7"/>
    <w:rsid w:val="001E535D"/>
    <w:rsid w:val="001E63DA"/>
    <w:rsid w:val="001E6CE7"/>
    <w:rsid w:val="0020079E"/>
    <w:rsid w:val="00202A04"/>
    <w:rsid w:val="002129EB"/>
    <w:rsid w:val="0021509B"/>
    <w:rsid w:val="002151F6"/>
    <w:rsid w:val="00216831"/>
    <w:rsid w:val="002201D3"/>
    <w:rsid w:val="002216B3"/>
    <w:rsid w:val="00221F54"/>
    <w:rsid w:val="002232FD"/>
    <w:rsid w:val="00223A3A"/>
    <w:rsid w:val="00225BDF"/>
    <w:rsid w:val="00230A17"/>
    <w:rsid w:val="00230E5F"/>
    <w:rsid w:val="0023102B"/>
    <w:rsid w:val="002311E9"/>
    <w:rsid w:val="00231D81"/>
    <w:rsid w:val="002327BC"/>
    <w:rsid w:val="00233EF5"/>
    <w:rsid w:val="002351AB"/>
    <w:rsid w:val="00236336"/>
    <w:rsid w:val="0023755B"/>
    <w:rsid w:val="002406F6"/>
    <w:rsid w:val="0024329B"/>
    <w:rsid w:val="002435D3"/>
    <w:rsid w:val="002450FB"/>
    <w:rsid w:val="00245C11"/>
    <w:rsid w:val="00245FFA"/>
    <w:rsid w:val="00246110"/>
    <w:rsid w:val="00246125"/>
    <w:rsid w:val="0024673F"/>
    <w:rsid w:val="00251D1A"/>
    <w:rsid w:val="0025457E"/>
    <w:rsid w:val="0025478C"/>
    <w:rsid w:val="0025656E"/>
    <w:rsid w:val="002568D4"/>
    <w:rsid w:val="00257206"/>
    <w:rsid w:val="00263665"/>
    <w:rsid w:val="002649F3"/>
    <w:rsid w:val="00264E18"/>
    <w:rsid w:val="00267CCC"/>
    <w:rsid w:val="002712E4"/>
    <w:rsid w:val="00272769"/>
    <w:rsid w:val="002746A7"/>
    <w:rsid w:val="00275407"/>
    <w:rsid w:val="002761EA"/>
    <w:rsid w:val="00281EA0"/>
    <w:rsid w:val="00283C16"/>
    <w:rsid w:val="00285486"/>
    <w:rsid w:val="00290180"/>
    <w:rsid w:val="00290560"/>
    <w:rsid w:val="00291F18"/>
    <w:rsid w:val="00293472"/>
    <w:rsid w:val="002A05BA"/>
    <w:rsid w:val="002A1959"/>
    <w:rsid w:val="002A1A4C"/>
    <w:rsid w:val="002A4EBD"/>
    <w:rsid w:val="002A79D8"/>
    <w:rsid w:val="002B3AB8"/>
    <w:rsid w:val="002B4593"/>
    <w:rsid w:val="002B612C"/>
    <w:rsid w:val="002B6596"/>
    <w:rsid w:val="002C06C1"/>
    <w:rsid w:val="002C09C5"/>
    <w:rsid w:val="002C2092"/>
    <w:rsid w:val="002C3B14"/>
    <w:rsid w:val="002C65CE"/>
    <w:rsid w:val="002C6C1A"/>
    <w:rsid w:val="002D0C94"/>
    <w:rsid w:val="002D2DC4"/>
    <w:rsid w:val="002D3BDF"/>
    <w:rsid w:val="002D4F40"/>
    <w:rsid w:val="002D5454"/>
    <w:rsid w:val="002D59C9"/>
    <w:rsid w:val="002D6A38"/>
    <w:rsid w:val="002E1826"/>
    <w:rsid w:val="002F0648"/>
    <w:rsid w:val="002F113D"/>
    <w:rsid w:val="0030499A"/>
    <w:rsid w:val="00305C81"/>
    <w:rsid w:val="00310506"/>
    <w:rsid w:val="00314453"/>
    <w:rsid w:val="0031495F"/>
    <w:rsid w:val="00314D71"/>
    <w:rsid w:val="00314FC8"/>
    <w:rsid w:val="00315E27"/>
    <w:rsid w:val="003200F0"/>
    <w:rsid w:val="003202AF"/>
    <w:rsid w:val="00320AB8"/>
    <w:rsid w:val="00321501"/>
    <w:rsid w:val="003233B9"/>
    <w:rsid w:val="00330EFE"/>
    <w:rsid w:val="00331C7E"/>
    <w:rsid w:val="003323F8"/>
    <w:rsid w:val="00333676"/>
    <w:rsid w:val="00333EE5"/>
    <w:rsid w:val="003359FB"/>
    <w:rsid w:val="00336C2D"/>
    <w:rsid w:val="00336F0B"/>
    <w:rsid w:val="003402EF"/>
    <w:rsid w:val="00343B02"/>
    <w:rsid w:val="00344227"/>
    <w:rsid w:val="00346FF0"/>
    <w:rsid w:val="00350667"/>
    <w:rsid w:val="0035310F"/>
    <w:rsid w:val="00356216"/>
    <w:rsid w:val="00357518"/>
    <w:rsid w:val="00361F3B"/>
    <w:rsid w:val="00363C5F"/>
    <w:rsid w:val="003649D0"/>
    <w:rsid w:val="00364A94"/>
    <w:rsid w:val="00364D0B"/>
    <w:rsid w:val="00365A2F"/>
    <w:rsid w:val="00366D62"/>
    <w:rsid w:val="00371F92"/>
    <w:rsid w:val="00376769"/>
    <w:rsid w:val="00380A48"/>
    <w:rsid w:val="00381E4D"/>
    <w:rsid w:val="00382F5A"/>
    <w:rsid w:val="00383979"/>
    <w:rsid w:val="003841C5"/>
    <w:rsid w:val="0038537F"/>
    <w:rsid w:val="003868BA"/>
    <w:rsid w:val="00393D5E"/>
    <w:rsid w:val="003954ED"/>
    <w:rsid w:val="0039745B"/>
    <w:rsid w:val="00397ABD"/>
    <w:rsid w:val="003A20A5"/>
    <w:rsid w:val="003A5676"/>
    <w:rsid w:val="003A7D82"/>
    <w:rsid w:val="003B1671"/>
    <w:rsid w:val="003B3CF5"/>
    <w:rsid w:val="003C02AA"/>
    <w:rsid w:val="003C057F"/>
    <w:rsid w:val="003C2F03"/>
    <w:rsid w:val="003C345F"/>
    <w:rsid w:val="003C3A21"/>
    <w:rsid w:val="003C51C0"/>
    <w:rsid w:val="003C7984"/>
    <w:rsid w:val="003D1606"/>
    <w:rsid w:val="003D2959"/>
    <w:rsid w:val="003D2E8D"/>
    <w:rsid w:val="003D3B0A"/>
    <w:rsid w:val="003D60C1"/>
    <w:rsid w:val="003E0452"/>
    <w:rsid w:val="003E3B91"/>
    <w:rsid w:val="003E40FB"/>
    <w:rsid w:val="003E4851"/>
    <w:rsid w:val="003F0170"/>
    <w:rsid w:val="003F1281"/>
    <w:rsid w:val="003F3059"/>
    <w:rsid w:val="003F4B20"/>
    <w:rsid w:val="003F5531"/>
    <w:rsid w:val="003F66BF"/>
    <w:rsid w:val="003F7008"/>
    <w:rsid w:val="003F7FDB"/>
    <w:rsid w:val="00401794"/>
    <w:rsid w:val="00404428"/>
    <w:rsid w:val="0040465B"/>
    <w:rsid w:val="004047ED"/>
    <w:rsid w:val="00405EB8"/>
    <w:rsid w:val="00406170"/>
    <w:rsid w:val="0041002D"/>
    <w:rsid w:val="00410B12"/>
    <w:rsid w:val="00414D4E"/>
    <w:rsid w:val="00422D4D"/>
    <w:rsid w:val="004232CD"/>
    <w:rsid w:val="00430E2D"/>
    <w:rsid w:val="00432394"/>
    <w:rsid w:val="00433E43"/>
    <w:rsid w:val="004343AD"/>
    <w:rsid w:val="00434520"/>
    <w:rsid w:val="00434A9C"/>
    <w:rsid w:val="00436A64"/>
    <w:rsid w:val="00436A95"/>
    <w:rsid w:val="00436F41"/>
    <w:rsid w:val="00437038"/>
    <w:rsid w:val="00440680"/>
    <w:rsid w:val="00441B4B"/>
    <w:rsid w:val="00444000"/>
    <w:rsid w:val="00444646"/>
    <w:rsid w:val="00444C2F"/>
    <w:rsid w:val="00444DCF"/>
    <w:rsid w:val="0044538D"/>
    <w:rsid w:val="00450BB0"/>
    <w:rsid w:val="004541C7"/>
    <w:rsid w:val="00454FBC"/>
    <w:rsid w:val="00454FFD"/>
    <w:rsid w:val="00460F9F"/>
    <w:rsid w:val="0046329D"/>
    <w:rsid w:val="00463B84"/>
    <w:rsid w:val="00467BD1"/>
    <w:rsid w:val="00471D46"/>
    <w:rsid w:val="00471EBA"/>
    <w:rsid w:val="00482098"/>
    <w:rsid w:val="0048224C"/>
    <w:rsid w:val="004840B8"/>
    <w:rsid w:val="00485AFD"/>
    <w:rsid w:val="0048640D"/>
    <w:rsid w:val="00487283"/>
    <w:rsid w:val="004909BE"/>
    <w:rsid w:val="004A4ED6"/>
    <w:rsid w:val="004A60C2"/>
    <w:rsid w:val="004A79E8"/>
    <w:rsid w:val="004B0DCB"/>
    <w:rsid w:val="004B2F6E"/>
    <w:rsid w:val="004B4AC5"/>
    <w:rsid w:val="004C33D6"/>
    <w:rsid w:val="004C6232"/>
    <w:rsid w:val="004D1FAC"/>
    <w:rsid w:val="004D4CE2"/>
    <w:rsid w:val="004D72F4"/>
    <w:rsid w:val="004D7A56"/>
    <w:rsid w:val="004E0C0F"/>
    <w:rsid w:val="004E18D0"/>
    <w:rsid w:val="004E3993"/>
    <w:rsid w:val="004E4D24"/>
    <w:rsid w:val="004E61E0"/>
    <w:rsid w:val="004F7967"/>
    <w:rsid w:val="00501D31"/>
    <w:rsid w:val="00501D7F"/>
    <w:rsid w:val="0050222E"/>
    <w:rsid w:val="005061A3"/>
    <w:rsid w:val="00507B13"/>
    <w:rsid w:val="00507EF5"/>
    <w:rsid w:val="0051121A"/>
    <w:rsid w:val="005120B0"/>
    <w:rsid w:val="00514F88"/>
    <w:rsid w:val="00520334"/>
    <w:rsid w:val="005226C0"/>
    <w:rsid w:val="0052363C"/>
    <w:rsid w:val="005238F2"/>
    <w:rsid w:val="00524131"/>
    <w:rsid w:val="00525490"/>
    <w:rsid w:val="005254FC"/>
    <w:rsid w:val="005334AD"/>
    <w:rsid w:val="00540213"/>
    <w:rsid w:val="00540C0F"/>
    <w:rsid w:val="00541D3A"/>
    <w:rsid w:val="005447DE"/>
    <w:rsid w:val="00545A80"/>
    <w:rsid w:val="0054628D"/>
    <w:rsid w:val="0055080E"/>
    <w:rsid w:val="00553D1B"/>
    <w:rsid w:val="0055464C"/>
    <w:rsid w:val="00555C07"/>
    <w:rsid w:val="00555F20"/>
    <w:rsid w:val="00557007"/>
    <w:rsid w:val="005611F4"/>
    <w:rsid w:val="005626B2"/>
    <w:rsid w:val="005657C9"/>
    <w:rsid w:val="00565C76"/>
    <w:rsid w:val="00566145"/>
    <w:rsid w:val="00572A5D"/>
    <w:rsid w:val="00572F4C"/>
    <w:rsid w:val="005772F7"/>
    <w:rsid w:val="00582275"/>
    <w:rsid w:val="00583ACD"/>
    <w:rsid w:val="005840B5"/>
    <w:rsid w:val="00585E1C"/>
    <w:rsid w:val="005870CF"/>
    <w:rsid w:val="00592695"/>
    <w:rsid w:val="00595510"/>
    <w:rsid w:val="00597228"/>
    <w:rsid w:val="005A0571"/>
    <w:rsid w:val="005A2DF8"/>
    <w:rsid w:val="005A3460"/>
    <w:rsid w:val="005A38EC"/>
    <w:rsid w:val="005A3A95"/>
    <w:rsid w:val="005A3FC7"/>
    <w:rsid w:val="005A45CB"/>
    <w:rsid w:val="005A5686"/>
    <w:rsid w:val="005A68BE"/>
    <w:rsid w:val="005A7765"/>
    <w:rsid w:val="005A784C"/>
    <w:rsid w:val="005B3B41"/>
    <w:rsid w:val="005C183B"/>
    <w:rsid w:val="005C1950"/>
    <w:rsid w:val="005C2103"/>
    <w:rsid w:val="005C21E1"/>
    <w:rsid w:val="005C3002"/>
    <w:rsid w:val="005C4C1A"/>
    <w:rsid w:val="005C4EA1"/>
    <w:rsid w:val="005C566C"/>
    <w:rsid w:val="005C670B"/>
    <w:rsid w:val="005C78D5"/>
    <w:rsid w:val="005C7D95"/>
    <w:rsid w:val="005D15A3"/>
    <w:rsid w:val="005D1EEC"/>
    <w:rsid w:val="005D373B"/>
    <w:rsid w:val="005D41AE"/>
    <w:rsid w:val="005D4564"/>
    <w:rsid w:val="005D61A9"/>
    <w:rsid w:val="005E0501"/>
    <w:rsid w:val="005E248B"/>
    <w:rsid w:val="005E294F"/>
    <w:rsid w:val="005E2FFC"/>
    <w:rsid w:val="005F4DB3"/>
    <w:rsid w:val="005F4E54"/>
    <w:rsid w:val="005F5546"/>
    <w:rsid w:val="005F6316"/>
    <w:rsid w:val="005F6AA0"/>
    <w:rsid w:val="005F744D"/>
    <w:rsid w:val="00603BCE"/>
    <w:rsid w:val="00603FB8"/>
    <w:rsid w:val="00605A59"/>
    <w:rsid w:val="00606666"/>
    <w:rsid w:val="00606E24"/>
    <w:rsid w:val="006072C2"/>
    <w:rsid w:val="00607872"/>
    <w:rsid w:val="006115AE"/>
    <w:rsid w:val="00611F6B"/>
    <w:rsid w:val="00612ECE"/>
    <w:rsid w:val="00614298"/>
    <w:rsid w:val="006146A0"/>
    <w:rsid w:val="00615B44"/>
    <w:rsid w:val="006167D2"/>
    <w:rsid w:val="006201B7"/>
    <w:rsid w:val="006208CF"/>
    <w:rsid w:val="0062411E"/>
    <w:rsid w:val="006246B9"/>
    <w:rsid w:val="00624776"/>
    <w:rsid w:val="00626F2A"/>
    <w:rsid w:val="00627CA3"/>
    <w:rsid w:val="00631CAD"/>
    <w:rsid w:val="0063355B"/>
    <w:rsid w:val="00636F49"/>
    <w:rsid w:val="00640144"/>
    <w:rsid w:val="00641B5E"/>
    <w:rsid w:val="00642011"/>
    <w:rsid w:val="006451A4"/>
    <w:rsid w:val="0064522A"/>
    <w:rsid w:val="00647471"/>
    <w:rsid w:val="006545A7"/>
    <w:rsid w:val="00654DE7"/>
    <w:rsid w:val="006566C6"/>
    <w:rsid w:val="00656A46"/>
    <w:rsid w:val="0065714E"/>
    <w:rsid w:val="006573BD"/>
    <w:rsid w:val="00661680"/>
    <w:rsid w:val="00663097"/>
    <w:rsid w:val="0066408B"/>
    <w:rsid w:val="006710D9"/>
    <w:rsid w:val="00673648"/>
    <w:rsid w:val="00674928"/>
    <w:rsid w:val="0068252B"/>
    <w:rsid w:val="00682C5C"/>
    <w:rsid w:val="00684593"/>
    <w:rsid w:val="00685821"/>
    <w:rsid w:val="006862B2"/>
    <w:rsid w:val="0069017F"/>
    <w:rsid w:val="00690F4B"/>
    <w:rsid w:val="00691E03"/>
    <w:rsid w:val="00692277"/>
    <w:rsid w:val="00692362"/>
    <w:rsid w:val="00692511"/>
    <w:rsid w:val="00693D3F"/>
    <w:rsid w:val="006963B6"/>
    <w:rsid w:val="006A38A9"/>
    <w:rsid w:val="006A3D74"/>
    <w:rsid w:val="006A559B"/>
    <w:rsid w:val="006A7391"/>
    <w:rsid w:val="006B03AD"/>
    <w:rsid w:val="006B26EF"/>
    <w:rsid w:val="006B27B4"/>
    <w:rsid w:val="006B32FE"/>
    <w:rsid w:val="006B35BD"/>
    <w:rsid w:val="006B46F9"/>
    <w:rsid w:val="006B72BD"/>
    <w:rsid w:val="006C1BC5"/>
    <w:rsid w:val="006C30B7"/>
    <w:rsid w:val="006C49F7"/>
    <w:rsid w:val="006C5460"/>
    <w:rsid w:val="006C6E32"/>
    <w:rsid w:val="006C7982"/>
    <w:rsid w:val="006D00F3"/>
    <w:rsid w:val="006D342C"/>
    <w:rsid w:val="006D4610"/>
    <w:rsid w:val="006E282B"/>
    <w:rsid w:val="006E3502"/>
    <w:rsid w:val="006E37A7"/>
    <w:rsid w:val="006E3E1F"/>
    <w:rsid w:val="006F4178"/>
    <w:rsid w:val="006F4868"/>
    <w:rsid w:val="006F4EF8"/>
    <w:rsid w:val="006F5925"/>
    <w:rsid w:val="006F652C"/>
    <w:rsid w:val="007030FE"/>
    <w:rsid w:val="00705EA0"/>
    <w:rsid w:val="00705EF6"/>
    <w:rsid w:val="00706BCA"/>
    <w:rsid w:val="00710375"/>
    <w:rsid w:val="00710CEA"/>
    <w:rsid w:val="007117F8"/>
    <w:rsid w:val="00711D2E"/>
    <w:rsid w:val="00712EB2"/>
    <w:rsid w:val="00715B82"/>
    <w:rsid w:val="00717D49"/>
    <w:rsid w:val="00720394"/>
    <w:rsid w:val="00720F17"/>
    <w:rsid w:val="00722124"/>
    <w:rsid w:val="007232E5"/>
    <w:rsid w:val="00724B74"/>
    <w:rsid w:val="0072614E"/>
    <w:rsid w:val="0072742D"/>
    <w:rsid w:val="00727A11"/>
    <w:rsid w:val="0073106E"/>
    <w:rsid w:val="007329A5"/>
    <w:rsid w:val="00733FC7"/>
    <w:rsid w:val="0073638C"/>
    <w:rsid w:val="007410AC"/>
    <w:rsid w:val="007413CF"/>
    <w:rsid w:val="00743EAD"/>
    <w:rsid w:val="00753490"/>
    <w:rsid w:val="0075350E"/>
    <w:rsid w:val="0075387A"/>
    <w:rsid w:val="00753D3C"/>
    <w:rsid w:val="00754B8F"/>
    <w:rsid w:val="00760995"/>
    <w:rsid w:val="007618B4"/>
    <w:rsid w:val="007630B6"/>
    <w:rsid w:val="00763F41"/>
    <w:rsid w:val="00764964"/>
    <w:rsid w:val="007670B5"/>
    <w:rsid w:val="00770FE9"/>
    <w:rsid w:val="007750BA"/>
    <w:rsid w:val="007773E1"/>
    <w:rsid w:val="00783FE9"/>
    <w:rsid w:val="00785C79"/>
    <w:rsid w:val="00786111"/>
    <w:rsid w:val="00793B0E"/>
    <w:rsid w:val="00794B51"/>
    <w:rsid w:val="007A0999"/>
    <w:rsid w:val="007A0DC8"/>
    <w:rsid w:val="007A387B"/>
    <w:rsid w:val="007A5F90"/>
    <w:rsid w:val="007B1577"/>
    <w:rsid w:val="007B46E1"/>
    <w:rsid w:val="007B4857"/>
    <w:rsid w:val="007B69AE"/>
    <w:rsid w:val="007B6A46"/>
    <w:rsid w:val="007C0329"/>
    <w:rsid w:val="007C09C3"/>
    <w:rsid w:val="007C3087"/>
    <w:rsid w:val="007C32D0"/>
    <w:rsid w:val="007C495E"/>
    <w:rsid w:val="007C4F43"/>
    <w:rsid w:val="007C5B2F"/>
    <w:rsid w:val="007C6A89"/>
    <w:rsid w:val="007D1A4B"/>
    <w:rsid w:val="007D210E"/>
    <w:rsid w:val="007D4346"/>
    <w:rsid w:val="007E07B6"/>
    <w:rsid w:val="007E0E63"/>
    <w:rsid w:val="007E11CB"/>
    <w:rsid w:val="007E124D"/>
    <w:rsid w:val="007E704D"/>
    <w:rsid w:val="007F3388"/>
    <w:rsid w:val="007F3B76"/>
    <w:rsid w:val="007F482B"/>
    <w:rsid w:val="00802CCA"/>
    <w:rsid w:val="00806717"/>
    <w:rsid w:val="008067F6"/>
    <w:rsid w:val="00810835"/>
    <w:rsid w:val="00811004"/>
    <w:rsid w:val="0081296A"/>
    <w:rsid w:val="00821E0C"/>
    <w:rsid w:val="00822CFC"/>
    <w:rsid w:val="008233F5"/>
    <w:rsid w:val="0082462E"/>
    <w:rsid w:val="00826899"/>
    <w:rsid w:val="0083524A"/>
    <w:rsid w:val="00836318"/>
    <w:rsid w:val="008363E1"/>
    <w:rsid w:val="008365FE"/>
    <w:rsid w:val="00837403"/>
    <w:rsid w:val="008375AF"/>
    <w:rsid w:val="0084123E"/>
    <w:rsid w:val="00842650"/>
    <w:rsid w:val="00843101"/>
    <w:rsid w:val="008436D1"/>
    <w:rsid w:val="00843BFF"/>
    <w:rsid w:val="008468B9"/>
    <w:rsid w:val="00846E4C"/>
    <w:rsid w:val="008470E0"/>
    <w:rsid w:val="00847201"/>
    <w:rsid w:val="008472BA"/>
    <w:rsid w:val="00847ACF"/>
    <w:rsid w:val="00850023"/>
    <w:rsid w:val="008523F7"/>
    <w:rsid w:val="00852B9E"/>
    <w:rsid w:val="00853729"/>
    <w:rsid w:val="00861346"/>
    <w:rsid w:val="008648FE"/>
    <w:rsid w:val="00871D6C"/>
    <w:rsid w:val="00873A12"/>
    <w:rsid w:val="00876B94"/>
    <w:rsid w:val="00876BA4"/>
    <w:rsid w:val="00880E73"/>
    <w:rsid w:val="00880E7C"/>
    <w:rsid w:val="008819F6"/>
    <w:rsid w:val="00892649"/>
    <w:rsid w:val="0089531A"/>
    <w:rsid w:val="00896407"/>
    <w:rsid w:val="008964FF"/>
    <w:rsid w:val="008A03D5"/>
    <w:rsid w:val="008A153B"/>
    <w:rsid w:val="008A17EC"/>
    <w:rsid w:val="008A1E23"/>
    <w:rsid w:val="008A462F"/>
    <w:rsid w:val="008A550E"/>
    <w:rsid w:val="008A5645"/>
    <w:rsid w:val="008A58CF"/>
    <w:rsid w:val="008A5ACF"/>
    <w:rsid w:val="008A5FA3"/>
    <w:rsid w:val="008B04DB"/>
    <w:rsid w:val="008B3A50"/>
    <w:rsid w:val="008B523E"/>
    <w:rsid w:val="008B571E"/>
    <w:rsid w:val="008B579C"/>
    <w:rsid w:val="008B7802"/>
    <w:rsid w:val="008C1BFB"/>
    <w:rsid w:val="008C6ABD"/>
    <w:rsid w:val="008D29CC"/>
    <w:rsid w:val="008D30B5"/>
    <w:rsid w:val="008D6750"/>
    <w:rsid w:val="008E0B33"/>
    <w:rsid w:val="008E5A33"/>
    <w:rsid w:val="008F2EF4"/>
    <w:rsid w:val="008F385F"/>
    <w:rsid w:val="008F658E"/>
    <w:rsid w:val="009000A5"/>
    <w:rsid w:val="009015D8"/>
    <w:rsid w:val="00902BD7"/>
    <w:rsid w:val="00905EF2"/>
    <w:rsid w:val="00906F67"/>
    <w:rsid w:val="009071BF"/>
    <w:rsid w:val="00907387"/>
    <w:rsid w:val="00907CAC"/>
    <w:rsid w:val="0091052D"/>
    <w:rsid w:val="00912308"/>
    <w:rsid w:val="00917924"/>
    <w:rsid w:val="00917B1B"/>
    <w:rsid w:val="0092327A"/>
    <w:rsid w:val="0092439E"/>
    <w:rsid w:val="00924854"/>
    <w:rsid w:val="009248AB"/>
    <w:rsid w:val="009301CC"/>
    <w:rsid w:val="00932903"/>
    <w:rsid w:val="00937566"/>
    <w:rsid w:val="00943D3C"/>
    <w:rsid w:val="0094468D"/>
    <w:rsid w:val="00944CDC"/>
    <w:rsid w:val="00945AF5"/>
    <w:rsid w:val="00951377"/>
    <w:rsid w:val="009518FB"/>
    <w:rsid w:val="00951F22"/>
    <w:rsid w:val="009525FC"/>
    <w:rsid w:val="009542A2"/>
    <w:rsid w:val="00955703"/>
    <w:rsid w:val="00957268"/>
    <w:rsid w:val="00960E9C"/>
    <w:rsid w:val="00964359"/>
    <w:rsid w:val="00964593"/>
    <w:rsid w:val="0096662C"/>
    <w:rsid w:val="00970D9F"/>
    <w:rsid w:val="00971843"/>
    <w:rsid w:val="00971D9B"/>
    <w:rsid w:val="009724F5"/>
    <w:rsid w:val="00974314"/>
    <w:rsid w:val="00974E59"/>
    <w:rsid w:val="00976333"/>
    <w:rsid w:val="00977A75"/>
    <w:rsid w:val="0098160F"/>
    <w:rsid w:val="009817A5"/>
    <w:rsid w:val="0098220E"/>
    <w:rsid w:val="009822D5"/>
    <w:rsid w:val="00985537"/>
    <w:rsid w:val="00985B1B"/>
    <w:rsid w:val="00987EE6"/>
    <w:rsid w:val="00990F1C"/>
    <w:rsid w:val="00997284"/>
    <w:rsid w:val="00997629"/>
    <w:rsid w:val="009A04A6"/>
    <w:rsid w:val="009A1DCA"/>
    <w:rsid w:val="009A24E5"/>
    <w:rsid w:val="009A38F5"/>
    <w:rsid w:val="009A44A0"/>
    <w:rsid w:val="009A45D0"/>
    <w:rsid w:val="009A4EC6"/>
    <w:rsid w:val="009A7533"/>
    <w:rsid w:val="009B0BE2"/>
    <w:rsid w:val="009B1961"/>
    <w:rsid w:val="009B1D36"/>
    <w:rsid w:val="009B3441"/>
    <w:rsid w:val="009B382E"/>
    <w:rsid w:val="009B57BB"/>
    <w:rsid w:val="009B626E"/>
    <w:rsid w:val="009C05CC"/>
    <w:rsid w:val="009C3AC2"/>
    <w:rsid w:val="009C46FB"/>
    <w:rsid w:val="009C544C"/>
    <w:rsid w:val="009C5795"/>
    <w:rsid w:val="009C652E"/>
    <w:rsid w:val="009C6984"/>
    <w:rsid w:val="009D79EB"/>
    <w:rsid w:val="009E0020"/>
    <w:rsid w:val="009E0977"/>
    <w:rsid w:val="009E1F23"/>
    <w:rsid w:val="009E34A5"/>
    <w:rsid w:val="009E457E"/>
    <w:rsid w:val="009E4FDF"/>
    <w:rsid w:val="009F225B"/>
    <w:rsid w:val="009F314E"/>
    <w:rsid w:val="009F389D"/>
    <w:rsid w:val="009F3C07"/>
    <w:rsid w:val="009F6796"/>
    <w:rsid w:val="009F75AC"/>
    <w:rsid w:val="00A01EAE"/>
    <w:rsid w:val="00A04746"/>
    <w:rsid w:val="00A0600B"/>
    <w:rsid w:val="00A0729F"/>
    <w:rsid w:val="00A109DC"/>
    <w:rsid w:val="00A10A28"/>
    <w:rsid w:val="00A119AB"/>
    <w:rsid w:val="00A11A11"/>
    <w:rsid w:val="00A12E41"/>
    <w:rsid w:val="00A13540"/>
    <w:rsid w:val="00A13776"/>
    <w:rsid w:val="00A1486A"/>
    <w:rsid w:val="00A1603F"/>
    <w:rsid w:val="00A24039"/>
    <w:rsid w:val="00A276E1"/>
    <w:rsid w:val="00A31066"/>
    <w:rsid w:val="00A31A36"/>
    <w:rsid w:val="00A327CF"/>
    <w:rsid w:val="00A37960"/>
    <w:rsid w:val="00A37CB5"/>
    <w:rsid w:val="00A40B1F"/>
    <w:rsid w:val="00A40D9B"/>
    <w:rsid w:val="00A442B7"/>
    <w:rsid w:val="00A468E5"/>
    <w:rsid w:val="00A46FAD"/>
    <w:rsid w:val="00A47328"/>
    <w:rsid w:val="00A537E2"/>
    <w:rsid w:val="00A552E0"/>
    <w:rsid w:val="00A558FA"/>
    <w:rsid w:val="00A56A71"/>
    <w:rsid w:val="00A56C94"/>
    <w:rsid w:val="00A7032E"/>
    <w:rsid w:val="00A70BCB"/>
    <w:rsid w:val="00A70DDF"/>
    <w:rsid w:val="00A74FBE"/>
    <w:rsid w:val="00A75AE9"/>
    <w:rsid w:val="00A75FB2"/>
    <w:rsid w:val="00A80C64"/>
    <w:rsid w:val="00A817EC"/>
    <w:rsid w:val="00A86450"/>
    <w:rsid w:val="00A8661E"/>
    <w:rsid w:val="00A869DE"/>
    <w:rsid w:val="00A87335"/>
    <w:rsid w:val="00A900FD"/>
    <w:rsid w:val="00A90246"/>
    <w:rsid w:val="00A902C3"/>
    <w:rsid w:val="00A9210C"/>
    <w:rsid w:val="00AA3DDB"/>
    <w:rsid w:val="00AA409E"/>
    <w:rsid w:val="00AA47B3"/>
    <w:rsid w:val="00AA5CBE"/>
    <w:rsid w:val="00AA5D02"/>
    <w:rsid w:val="00AA6229"/>
    <w:rsid w:val="00AA6B1C"/>
    <w:rsid w:val="00AB086A"/>
    <w:rsid w:val="00AB2520"/>
    <w:rsid w:val="00AB4360"/>
    <w:rsid w:val="00AC18ED"/>
    <w:rsid w:val="00AC1AE0"/>
    <w:rsid w:val="00AC1AF3"/>
    <w:rsid w:val="00AC2214"/>
    <w:rsid w:val="00AC2B97"/>
    <w:rsid w:val="00AC3CBD"/>
    <w:rsid w:val="00AC6E9D"/>
    <w:rsid w:val="00AD083C"/>
    <w:rsid w:val="00AD20F0"/>
    <w:rsid w:val="00AD35FD"/>
    <w:rsid w:val="00AD3657"/>
    <w:rsid w:val="00AD45EE"/>
    <w:rsid w:val="00AD58AC"/>
    <w:rsid w:val="00AD5F6A"/>
    <w:rsid w:val="00AD685F"/>
    <w:rsid w:val="00AD781F"/>
    <w:rsid w:val="00AD7A41"/>
    <w:rsid w:val="00AE13CF"/>
    <w:rsid w:val="00AE2F45"/>
    <w:rsid w:val="00AE350F"/>
    <w:rsid w:val="00AE3B16"/>
    <w:rsid w:val="00AE4578"/>
    <w:rsid w:val="00AE65B9"/>
    <w:rsid w:val="00AE7613"/>
    <w:rsid w:val="00AF7668"/>
    <w:rsid w:val="00B02E54"/>
    <w:rsid w:val="00B04457"/>
    <w:rsid w:val="00B115B3"/>
    <w:rsid w:val="00B11A4C"/>
    <w:rsid w:val="00B12382"/>
    <w:rsid w:val="00B126FF"/>
    <w:rsid w:val="00B1327D"/>
    <w:rsid w:val="00B13484"/>
    <w:rsid w:val="00B13591"/>
    <w:rsid w:val="00B1370A"/>
    <w:rsid w:val="00B16063"/>
    <w:rsid w:val="00B16CE2"/>
    <w:rsid w:val="00B20CF4"/>
    <w:rsid w:val="00B215BF"/>
    <w:rsid w:val="00B21EAF"/>
    <w:rsid w:val="00B22C7B"/>
    <w:rsid w:val="00B23CDF"/>
    <w:rsid w:val="00B25A69"/>
    <w:rsid w:val="00B30CD2"/>
    <w:rsid w:val="00B321EB"/>
    <w:rsid w:val="00B34502"/>
    <w:rsid w:val="00B357CE"/>
    <w:rsid w:val="00B4095C"/>
    <w:rsid w:val="00B419F9"/>
    <w:rsid w:val="00B42267"/>
    <w:rsid w:val="00B4542B"/>
    <w:rsid w:val="00B4621E"/>
    <w:rsid w:val="00B475C5"/>
    <w:rsid w:val="00B52050"/>
    <w:rsid w:val="00B54969"/>
    <w:rsid w:val="00B563E3"/>
    <w:rsid w:val="00B56425"/>
    <w:rsid w:val="00B620BA"/>
    <w:rsid w:val="00B6331D"/>
    <w:rsid w:val="00B63656"/>
    <w:rsid w:val="00B648A4"/>
    <w:rsid w:val="00B64A66"/>
    <w:rsid w:val="00B65FB5"/>
    <w:rsid w:val="00B66641"/>
    <w:rsid w:val="00B67AA5"/>
    <w:rsid w:val="00B73A19"/>
    <w:rsid w:val="00B74973"/>
    <w:rsid w:val="00B8002B"/>
    <w:rsid w:val="00B817BE"/>
    <w:rsid w:val="00B873D9"/>
    <w:rsid w:val="00B90793"/>
    <w:rsid w:val="00B95A47"/>
    <w:rsid w:val="00B97205"/>
    <w:rsid w:val="00BA12FD"/>
    <w:rsid w:val="00BA21BA"/>
    <w:rsid w:val="00BA2262"/>
    <w:rsid w:val="00BA502A"/>
    <w:rsid w:val="00BA5129"/>
    <w:rsid w:val="00BA5F6F"/>
    <w:rsid w:val="00BA7FFE"/>
    <w:rsid w:val="00BB0CA9"/>
    <w:rsid w:val="00BB28EB"/>
    <w:rsid w:val="00BB683A"/>
    <w:rsid w:val="00BC01D3"/>
    <w:rsid w:val="00BD199C"/>
    <w:rsid w:val="00BD427D"/>
    <w:rsid w:val="00BD56D4"/>
    <w:rsid w:val="00BD6F4A"/>
    <w:rsid w:val="00BE59E7"/>
    <w:rsid w:val="00BF0632"/>
    <w:rsid w:val="00BF0899"/>
    <w:rsid w:val="00BF1C88"/>
    <w:rsid w:val="00BF1D1D"/>
    <w:rsid w:val="00BF3397"/>
    <w:rsid w:val="00BF4418"/>
    <w:rsid w:val="00BF4564"/>
    <w:rsid w:val="00BF6179"/>
    <w:rsid w:val="00BF73FA"/>
    <w:rsid w:val="00C0353C"/>
    <w:rsid w:val="00C04233"/>
    <w:rsid w:val="00C04E94"/>
    <w:rsid w:val="00C05FC8"/>
    <w:rsid w:val="00C06F5B"/>
    <w:rsid w:val="00C07133"/>
    <w:rsid w:val="00C0756F"/>
    <w:rsid w:val="00C10653"/>
    <w:rsid w:val="00C14716"/>
    <w:rsid w:val="00C16698"/>
    <w:rsid w:val="00C16743"/>
    <w:rsid w:val="00C16A53"/>
    <w:rsid w:val="00C2157B"/>
    <w:rsid w:val="00C34D0C"/>
    <w:rsid w:val="00C35287"/>
    <w:rsid w:val="00C37FD5"/>
    <w:rsid w:val="00C4087D"/>
    <w:rsid w:val="00C41232"/>
    <w:rsid w:val="00C43BFC"/>
    <w:rsid w:val="00C445BF"/>
    <w:rsid w:val="00C46298"/>
    <w:rsid w:val="00C463BB"/>
    <w:rsid w:val="00C501CE"/>
    <w:rsid w:val="00C51725"/>
    <w:rsid w:val="00C5460D"/>
    <w:rsid w:val="00C558A3"/>
    <w:rsid w:val="00C57735"/>
    <w:rsid w:val="00C602C1"/>
    <w:rsid w:val="00C603A5"/>
    <w:rsid w:val="00C61692"/>
    <w:rsid w:val="00C62C88"/>
    <w:rsid w:val="00C649BB"/>
    <w:rsid w:val="00C663D7"/>
    <w:rsid w:val="00C70B44"/>
    <w:rsid w:val="00C727DC"/>
    <w:rsid w:val="00C736C5"/>
    <w:rsid w:val="00C766FF"/>
    <w:rsid w:val="00C809E9"/>
    <w:rsid w:val="00C84355"/>
    <w:rsid w:val="00C867C5"/>
    <w:rsid w:val="00C91344"/>
    <w:rsid w:val="00C94E9A"/>
    <w:rsid w:val="00C9507D"/>
    <w:rsid w:val="00C95719"/>
    <w:rsid w:val="00CA0EC2"/>
    <w:rsid w:val="00CA14F5"/>
    <w:rsid w:val="00CA2A5C"/>
    <w:rsid w:val="00CA2C66"/>
    <w:rsid w:val="00CA2F8E"/>
    <w:rsid w:val="00CA60DA"/>
    <w:rsid w:val="00CB171E"/>
    <w:rsid w:val="00CB1CB3"/>
    <w:rsid w:val="00CB5CF8"/>
    <w:rsid w:val="00CB6EF2"/>
    <w:rsid w:val="00CC0768"/>
    <w:rsid w:val="00CC47D5"/>
    <w:rsid w:val="00CD2E57"/>
    <w:rsid w:val="00CD34FE"/>
    <w:rsid w:val="00CD37FE"/>
    <w:rsid w:val="00CD3DB8"/>
    <w:rsid w:val="00CD4D06"/>
    <w:rsid w:val="00CD673C"/>
    <w:rsid w:val="00CD7EEC"/>
    <w:rsid w:val="00CE1061"/>
    <w:rsid w:val="00CE3409"/>
    <w:rsid w:val="00CE3BDE"/>
    <w:rsid w:val="00CE4F32"/>
    <w:rsid w:val="00CE753B"/>
    <w:rsid w:val="00CF0C0F"/>
    <w:rsid w:val="00CF560C"/>
    <w:rsid w:val="00CF6E4B"/>
    <w:rsid w:val="00D01D25"/>
    <w:rsid w:val="00D035BF"/>
    <w:rsid w:val="00D05FF2"/>
    <w:rsid w:val="00D118E2"/>
    <w:rsid w:val="00D22F42"/>
    <w:rsid w:val="00D25DD4"/>
    <w:rsid w:val="00D265A7"/>
    <w:rsid w:val="00D26ACB"/>
    <w:rsid w:val="00D31207"/>
    <w:rsid w:val="00D325C9"/>
    <w:rsid w:val="00D33197"/>
    <w:rsid w:val="00D3451B"/>
    <w:rsid w:val="00D43870"/>
    <w:rsid w:val="00D451F1"/>
    <w:rsid w:val="00D46E83"/>
    <w:rsid w:val="00D46F3E"/>
    <w:rsid w:val="00D471CD"/>
    <w:rsid w:val="00D50692"/>
    <w:rsid w:val="00D54158"/>
    <w:rsid w:val="00D553FA"/>
    <w:rsid w:val="00D55BEF"/>
    <w:rsid w:val="00D56136"/>
    <w:rsid w:val="00D567C1"/>
    <w:rsid w:val="00D56A40"/>
    <w:rsid w:val="00D61C9E"/>
    <w:rsid w:val="00D63865"/>
    <w:rsid w:val="00D646CA"/>
    <w:rsid w:val="00D64C2D"/>
    <w:rsid w:val="00D73034"/>
    <w:rsid w:val="00D74864"/>
    <w:rsid w:val="00D74A10"/>
    <w:rsid w:val="00D74BBF"/>
    <w:rsid w:val="00D77096"/>
    <w:rsid w:val="00D810F0"/>
    <w:rsid w:val="00D828C7"/>
    <w:rsid w:val="00D84D30"/>
    <w:rsid w:val="00D84EFD"/>
    <w:rsid w:val="00D90D29"/>
    <w:rsid w:val="00D92ACE"/>
    <w:rsid w:val="00D92E48"/>
    <w:rsid w:val="00D9345F"/>
    <w:rsid w:val="00D945F0"/>
    <w:rsid w:val="00D96AA6"/>
    <w:rsid w:val="00D96AB7"/>
    <w:rsid w:val="00D96DEC"/>
    <w:rsid w:val="00DA1041"/>
    <w:rsid w:val="00DA6819"/>
    <w:rsid w:val="00DA7F4C"/>
    <w:rsid w:val="00DB060C"/>
    <w:rsid w:val="00DB3EB5"/>
    <w:rsid w:val="00DB46C0"/>
    <w:rsid w:val="00DB4EE7"/>
    <w:rsid w:val="00DB62A6"/>
    <w:rsid w:val="00DC2543"/>
    <w:rsid w:val="00DC3B68"/>
    <w:rsid w:val="00DC5CFF"/>
    <w:rsid w:val="00DC6F03"/>
    <w:rsid w:val="00DC760A"/>
    <w:rsid w:val="00DD1DC6"/>
    <w:rsid w:val="00DD27AE"/>
    <w:rsid w:val="00DD3035"/>
    <w:rsid w:val="00DE1201"/>
    <w:rsid w:val="00DE1451"/>
    <w:rsid w:val="00DE2B35"/>
    <w:rsid w:val="00DE2D1F"/>
    <w:rsid w:val="00DE5F0E"/>
    <w:rsid w:val="00DE6208"/>
    <w:rsid w:val="00DF0899"/>
    <w:rsid w:val="00DF33DC"/>
    <w:rsid w:val="00E039C5"/>
    <w:rsid w:val="00E04103"/>
    <w:rsid w:val="00E0654B"/>
    <w:rsid w:val="00E10B8E"/>
    <w:rsid w:val="00E203CA"/>
    <w:rsid w:val="00E20941"/>
    <w:rsid w:val="00E21754"/>
    <w:rsid w:val="00E22435"/>
    <w:rsid w:val="00E24748"/>
    <w:rsid w:val="00E25CC1"/>
    <w:rsid w:val="00E276A3"/>
    <w:rsid w:val="00E277A2"/>
    <w:rsid w:val="00E27F1D"/>
    <w:rsid w:val="00E302B5"/>
    <w:rsid w:val="00E3080F"/>
    <w:rsid w:val="00E30B88"/>
    <w:rsid w:val="00E30CF4"/>
    <w:rsid w:val="00E327B6"/>
    <w:rsid w:val="00E33760"/>
    <w:rsid w:val="00E367D2"/>
    <w:rsid w:val="00E41D09"/>
    <w:rsid w:val="00E4360F"/>
    <w:rsid w:val="00E46BDD"/>
    <w:rsid w:val="00E46E18"/>
    <w:rsid w:val="00E46F3C"/>
    <w:rsid w:val="00E5155B"/>
    <w:rsid w:val="00E517B2"/>
    <w:rsid w:val="00E51F03"/>
    <w:rsid w:val="00E5229E"/>
    <w:rsid w:val="00E559DD"/>
    <w:rsid w:val="00E572A6"/>
    <w:rsid w:val="00E57C2A"/>
    <w:rsid w:val="00E6077D"/>
    <w:rsid w:val="00E612BF"/>
    <w:rsid w:val="00E6298C"/>
    <w:rsid w:val="00E67EB5"/>
    <w:rsid w:val="00E7150D"/>
    <w:rsid w:val="00E7571F"/>
    <w:rsid w:val="00E763B3"/>
    <w:rsid w:val="00E83968"/>
    <w:rsid w:val="00E85B45"/>
    <w:rsid w:val="00E871E2"/>
    <w:rsid w:val="00E87BE9"/>
    <w:rsid w:val="00E91A3A"/>
    <w:rsid w:val="00E92B86"/>
    <w:rsid w:val="00E95808"/>
    <w:rsid w:val="00E95954"/>
    <w:rsid w:val="00E96108"/>
    <w:rsid w:val="00EA134C"/>
    <w:rsid w:val="00EA2D63"/>
    <w:rsid w:val="00EA395C"/>
    <w:rsid w:val="00EA47B6"/>
    <w:rsid w:val="00EA584C"/>
    <w:rsid w:val="00EA5ADE"/>
    <w:rsid w:val="00EA5CC5"/>
    <w:rsid w:val="00EB029E"/>
    <w:rsid w:val="00EB3938"/>
    <w:rsid w:val="00EB4AFC"/>
    <w:rsid w:val="00EB5044"/>
    <w:rsid w:val="00EB7F06"/>
    <w:rsid w:val="00EC1216"/>
    <w:rsid w:val="00EC5B0F"/>
    <w:rsid w:val="00EC5D86"/>
    <w:rsid w:val="00ED1A32"/>
    <w:rsid w:val="00ED6BCB"/>
    <w:rsid w:val="00ED6C58"/>
    <w:rsid w:val="00EE16EC"/>
    <w:rsid w:val="00EE21C9"/>
    <w:rsid w:val="00EE2BB0"/>
    <w:rsid w:val="00EE3CD4"/>
    <w:rsid w:val="00EE5FE5"/>
    <w:rsid w:val="00EF2491"/>
    <w:rsid w:val="00EF30EC"/>
    <w:rsid w:val="00EF3DAA"/>
    <w:rsid w:val="00F0126E"/>
    <w:rsid w:val="00F051CF"/>
    <w:rsid w:val="00F1112A"/>
    <w:rsid w:val="00F11F6F"/>
    <w:rsid w:val="00F15590"/>
    <w:rsid w:val="00F1705D"/>
    <w:rsid w:val="00F249EF"/>
    <w:rsid w:val="00F2763F"/>
    <w:rsid w:val="00F27BA6"/>
    <w:rsid w:val="00F314BF"/>
    <w:rsid w:val="00F3155B"/>
    <w:rsid w:val="00F34F27"/>
    <w:rsid w:val="00F3689C"/>
    <w:rsid w:val="00F40A35"/>
    <w:rsid w:val="00F40D5C"/>
    <w:rsid w:val="00F40FCA"/>
    <w:rsid w:val="00F410F6"/>
    <w:rsid w:val="00F43EB2"/>
    <w:rsid w:val="00F443D9"/>
    <w:rsid w:val="00F446E4"/>
    <w:rsid w:val="00F5040A"/>
    <w:rsid w:val="00F50A20"/>
    <w:rsid w:val="00F54722"/>
    <w:rsid w:val="00F567E7"/>
    <w:rsid w:val="00F61155"/>
    <w:rsid w:val="00F62194"/>
    <w:rsid w:val="00F6562C"/>
    <w:rsid w:val="00F71373"/>
    <w:rsid w:val="00F72B89"/>
    <w:rsid w:val="00F73C5D"/>
    <w:rsid w:val="00F7690A"/>
    <w:rsid w:val="00F76E5F"/>
    <w:rsid w:val="00F77B7D"/>
    <w:rsid w:val="00F804EA"/>
    <w:rsid w:val="00F805F9"/>
    <w:rsid w:val="00F8208B"/>
    <w:rsid w:val="00F84DC6"/>
    <w:rsid w:val="00F85EA9"/>
    <w:rsid w:val="00F85FF6"/>
    <w:rsid w:val="00F94DFB"/>
    <w:rsid w:val="00F955D4"/>
    <w:rsid w:val="00F9775A"/>
    <w:rsid w:val="00FA09B0"/>
    <w:rsid w:val="00FA0EE7"/>
    <w:rsid w:val="00FA1733"/>
    <w:rsid w:val="00FA1A89"/>
    <w:rsid w:val="00FA2F38"/>
    <w:rsid w:val="00FA4874"/>
    <w:rsid w:val="00FA5A2E"/>
    <w:rsid w:val="00FB04E0"/>
    <w:rsid w:val="00FB0C52"/>
    <w:rsid w:val="00FB5063"/>
    <w:rsid w:val="00FB5242"/>
    <w:rsid w:val="00FB5526"/>
    <w:rsid w:val="00FB694F"/>
    <w:rsid w:val="00FB6963"/>
    <w:rsid w:val="00FC0E90"/>
    <w:rsid w:val="00FC2A14"/>
    <w:rsid w:val="00FD1B1B"/>
    <w:rsid w:val="00FD32BA"/>
    <w:rsid w:val="00FD7FA8"/>
    <w:rsid w:val="00FE02D0"/>
    <w:rsid w:val="00FE5064"/>
    <w:rsid w:val="00FE5520"/>
    <w:rsid w:val="00FE765F"/>
    <w:rsid w:val="00FF0C36"/>
    <w:rsid w:val="00FF3AEA"/>
    <w:rsid w:val="00FF4054"/>
    <w:rsid w:val="00FF454F"/>
    <w:rsid w:val="00FF5700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09C8F"/>
  <w15:docId w15:val="{E6FE7440-355F-4370-90A7-8D44F226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3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Bullet1,List Paragraph1,Akapit z listą11,aotm_załączniki,Akapit z listą1,Table Legend,BulletPoints,podpunkt ankietyy,5 - W tabeli,Dot pt,F5 List Paragraph,No Spacing1,List Paragraph Char Char Char,Indicator Text,List Paragraph"/>
    <w:basedOn w:val="Normalny"/>
    <w:link w:val="AkapitzlistZnak"/>
    <w:uiPriority w:val="34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Bullet1 Znak,List Paragraph1 Znak,Akapit z listą11 Znak,aotm_załączniki Znak,Akapit z listą1 Znak,Table Legend Znak,BulletPoints Znak,podpunkt ankietyy Znak,5 - W tabeli Znak,Dot pt Znak,F5 List Paragraph Znak"/>
    <w:basedOn w:val="Domylnaczcionkaakapitu"/>
    <w:link w:val="Akapitzlist"/>
    <w:uiPriority w:val="34"/>
    <w:qFormat/>
    <w:locked/>
    <w:rsid w:val="00D567C1"/>
  </w:style>
  <w:style w:type="paragraph" w:customStyle="1" w:styleId="TableParagraph">
    <w:name w:val="Table Paragraph"/>
    <w:basedOn w:val="Normalny"/>
    <w:uiPriority w:val="1"/>
    <w:qFormat/>
    <w:rsid w:val="00330E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cf01">
    <w:name w:val="cf01"/>
    <w:basedOn w:val="Domylnaczcionkaakapitu"/>
    <w:rsid w:val="00CE753B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A3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C7C"/>
  </w:style>
  <w:style w:type="paragraph" w:customStyle="1" w:styleId="pf0">
    <w:name w:val="pf0"/>
    <w:basedOn w:val="Normalny"/>
    <w:rsid w:val="00D96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D96DEC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31052c5-12a0-4c27-bedc-7393c5701b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ECAFDC5CB17A4097EBE3B5694D46A9" ma:contentTypeVersion="14" ma:contentTypeDescription="Utwórz nowy dokument." ma:contentTypeScope="" ma:versionID="2a1c831daa1c0ea6008a82b72c948cd2">
  <xsd:schema xmlns:xsd="http://www.w3.org/2001/XMLSchema" xmlns:xs="http://www.w3.org/2001/XMLSchema" xmlns:p="http://schemas.microsoft.com/office/2006/metadata/properties" xmlns:ns3="b31052c5-12a0-4c27-bedc-7393c5701b41" xmlns:ns4="ef972c8d-2ab0-46d9-84b7-3e9511fb8ac1" targetNamespace="http://schemas.microsoft.com/office/2006/metadata/properties" ma:root="true" ma:fieldsID="194280e6238dc64dc596f9d676a60fbb" ns3:_="" ns4:_="">
    <xsd:import namespace="b31052c5-12a0-4c27-bedc-7393c5701b41"/>
    <xsd:import namespace="ef972c8d-2ab0-46d9-84b7-3e9511fb8a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052c5-12a0-4c27-bedc-7393c5701b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972c8d-2ab0-46d9-84b7-3e9511fb8a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BC887C-8043-4535-9C50-F7DF635622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AA32DE-3AEF-42AF-8899-2EDE651EA1DD}">
  <ds:schemaRefs>
    <ds:schemaRef ds:uri="http://schemas.microsoft.com/office/2006/metadata/properties"/>
    <ds:schemaRef ds:uri="http://schemas.microsoft.com/office/infopath/2007/PartnerControls"/>
    <ds:schemaRef ds:uri="b31052c5-12a0-4c27-bedc-7393c5701b41"/>
  </ds:schemaRefs>
</ds:datastoreItem>
</file>

<file path=customXml/itemProps3.xml><?xml version="1.0" encoding="utf-8"?>
<ds:datastoreItem xmlns:ds="http://schemas.openxmlformats.org/officeDocument/2006/customXml" ds:itemID="{C3FD0CC4-AD32-437F-9ED5-5318A9192F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44C43E-611A-480E-A564-5EC80F540F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1052c5-12a0-4c27-bedc-7393c5701b41"/>
    <ds:schemaRef ds:uri="ef972c8d-2ab0-46d9-84b7-3e9511fb8a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22</Pages>
  <Words>8586</Words>
  <Characters>51516</Characters>
  <Application>Microsoft Office Word</Application>
  <DocSecurity>0</DocSecurity>
  <Lines>429</Lines>
  <Paragraphs>119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Wilk Justyna</cp:lastModifiedBy>
  <cp:revision>3</cp:revision>
  <dcterms:created xsi:type="dcterms:W3CDTF">2025-03-17T13:25:00Z</dcterms:created>
  <dcterms:modified xsi:type="dcterms:W3CDTF">2025-03-17T13:33:00Z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0x01010084ECAFDC5CB17A4097EBE3B5694D46A9</vt:lpwstr>
  </property>
  <property fmtid="{D5CDD505-2E9C-101B-9397-08002B2CF9AE}" pid="3" name="MSIP_Label_e81acc0d-dcc4-4dc9-a2c5-be70b05a2fe6_Enabled">
    <vt:lpwstr>true</vt:lpwstr>
  </property>
  <property fmtid="{D5CDD505-2E9C-101B-9397-08002B2CF9AE}" pid="4" name="MSIP_Label_e81acc0d-dcc4-4dc9-a2c5-be70b05a2fe6_SetDate">
    <vt:lpwstr>2023-06-13T15:06:26Z</vt:lpwstr>
  </property>
  <property fmtid="{D5CDD505-2E9C-101B-9397-08002B2CF9AE}" pid="5" name="MSIP_Label_e81acc0d-dcc4-4dc9-a2c5-be70b05a2fe6_Method">
    <vt:lpwstr>Privileged</vt:lpwstr>
  </property>
  <property fmtid="{D5CDD505-2E9C-101B-9397-08002B2CF9AE}" pid="6" name="MSIP_Label_e81acc0d-dcc4-4dc9-a2c5-be70b05a2fe6_Name">
    <vt:lpwstr>e81acc0d-dcc4-4dc9-a2c5-be70b05a2fe6</vt:lpwstr>
  </property>
  <property fmtid="{D5CDD505-2E9C-101B-9397-08002B2CF9AE}" pid="7" name="MSIP_Label_e81acc0d-dcc4-4dc9-a2c5-be70b05a2fe6_SiteId">
    <vt:lpwstr>a00de4ec-48a8-43a6-be74-e31274e2060d</vt:lpwstr>
  </property>
  <property fmtid="{D5CDD505-2E9C-101B-9397-08002B2CF9AE}" pid="8" name="MSIP_Label_e81acc0d-dcc4-4dc9-a2c5-be70b05a2fe6_ActionId">
    <vt:lpwstr>c70afa18-a5ef-43d9-ad9b-ab9339cb562f</vt:lpwstr>
  </property>
  <property fmtid="{D5CDD505-2E9C-101B-9397-08002B2CF9AE}" pid="9" name="MSIP_Label_e81acc0d-dcc4-4dc9-a2c5-be70b05a2fe6_ContentBits">
    <vt:lpwstr>0</vt:lpwstr>
  </property>
  <property fmtid="{D5CDD505-2E9C-101B-9397-08002B2CF9AE}" pid="10" name="MerckAIPLabel">
    <vt:lpwstr>NotClassified</vt:lpwstr>
  </property>
  <property fmtid="{D5CDD505-2E9C-101B-9397-08002B2CF9AE}" pid="11" name="MerckAIPDataExchange">
    <vt:lpwstr>!MRKMIP@NotClassified</vt:lpwstr>
  </property>
  <property fmtid="{D5CDD505-2E9C-101B-9397-08002B2CF9AE}" pid="12" name="_NewReviewCycle">
    <vt:lpwstr/>
  </property>
</Properties>
</file>